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Weekly Report of DcBot</w:t>
      </w:r>
    </w:p>
    <w:p>
      <w:r>
        <w:rPr>
          <w:b/>
        </w:rPr>
        <w:t>7. 相关性分析_市场的一致性</w:t>
      </w:r>
      <w:r>
        <w:rPr>
          <w:b/>
        </w:rPr>
        <w:t>本周相关性开始升高，市场一致向上涨了一段。</w:t>
      </w:r>
    </w:p>
    <w:p>
      <w:r>
        <w:t>相关性显示了两个变量之间关系的强度，并通过相关系数数值表示。相关系数的取值范围在-1.0和1.0之间。</w:t>
      </w:r>
    </w:p>
    <w:p>
      <w:r>
        <w:drawing>
          <wp:inline xmlns:a="http://schemas.openxmlformats.org/drawingml/2006/main" xmlns:pic="http://schemas.openxmlformats.org/drawingml/2006/picture">
            <wp:extent cx="5669280" cy="56692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r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5669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上图为多个币种过去一周的相关性情况。</w:t>
      </w:r>
    </w:p>
    <w:p>
      <w:r>
        <w:t>当相关性高，各个币种无独立行情；当相关性低，行情不一致，统计套利策略在低相关的差异环境下表现较好。</w:t>
      </w:r>
    </w:p>
    <w:p>
      <w:r>
        <w:t>Absorption 指标代表所有币种的相关性，相关性高时市场行为较为一致，CTA策略一般在一致行情下表现较好。</w:t>
      </w:r>
    </w:p>
    <w:p>
      <w:r>
        <w:drawing>
          <wp:inline xmlns:a="http://schemas.openxmlformats.org/drawingml/2006/main" xmlns:pic="http://schemas.openxmlformats.org/drawingml/2006/picture">
            <wp:extent cx="5669280" cy="56692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NorMaDiff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5669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上图为一周的Absorption Ratio与过去两个月的Absorption Ratio做标准化的情况。</w:t>
      </w:r>
    </w:p>
    <w:p>
      <w:r>
        <w:t>表格显示Absorption Ratio不同时间长度的变化。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5760"/>
          </w:tcPr>
          <w:p>
            <w:r>
              <w:t>periodPctChange</w:t>
            </w:r>
          </w:p>
        </w:tc>
        <w:tc>
          <w:tcPr>
            <w:tcW w:type="dxa" w:w="1440"/>
          </w:tcPr>
          <w:p>
            <w:r>
              <w:t>1Day</w:t>
            </w:r>
          </w:p>
        </w:tc>
        <w:tc>
          <w:tcPr>
            <w:tcW w:type="dxa" w:w="1440"/>
          </w:tcPr>
          <w:p>
            <w:r>
              <w:t>3Day</w:t>
            </w:r>
          </w:p>
        </w:tc>
        <w:tc>
          <w:tcPr>
            <w:tcW w:type="dxa" w:w="1440"/>
          </w:tcPr>
          <w:p>
            <w:r>
              <w:t>5Day</w:t>
            </w:r>
          </w:p>
        </w:tc>
        <w:tc>
          <w:tcPr>
            <w:tcW w:type="dxa" w:w="1440"/>
          </w:tcPr>
          <w:p>
            <w:r>
              <w:t>8Day</w:t>
            </w:r>
          </w:p>
        </w:tc>
        <w:tc>
          <w:tcPr>
            <w:tcW w:type="dxa" w:w="1440"/>
          </w:tcPr>
          <w:p>
            <w:r>
              <w:t>13Day</w:t>
            </w:r>
          </w:p>
        </w:tc>
      </w:tr>
      <w:tr>
        <w:tc>
          <w:tcPr>
            <w:tcW w:type="dxa" w:w="1440"/>
          </w:tcPr>
          <w:p>
            <w:r>
              <w:t>arNorPctChange</w:t>
            </w:r>
          </w:p>
        </w:tc>
        <w:tc>
          <w:tcPr>
            <w:tcW w:type="dxa" w:w="1440"/>
          </w:tcPr>
          <w:p>
            <w:r>
              <w:t>8.94</w:t>
            </w:r>
          </w:p>
        </w:tc>
        <w:tc>
          <w:tcPr>
            <w:tcW w:type="dxa" w:w="1440"/>
          </w:tcPr>
          <w:p>
            <w:r>
              <w:t>6.77</w:t>
            </w:r>
          </w:p>
        </w:tc>
        <w:tc>
          <w:tcPr>
            <w:tcW w:type="dxa" w:w="1440"/>
          </w:tcPr>
          <w:p>
            <w:r>
              <w:t>18.81</w:t>
            </w:r>
          </w:p>
        </w:tc>
        <w:tc>
          <w:tcPr>
            <w:tcW w:type="dxa" w:w="1440"/>
          </w:tcPr>
          <w:p>
            <w:r>
              <w:t>27.7</w:t>
            </w:r>
          </w:p>
        </w:tc>
        <w:tc>
          <w:tcPr>
            <w:tcW w:type="dxa" w:w="1440"/>
          </w:tcPr>
          <w:p>
            <w:r>
              <w:t>203.36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