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Weekly Report of DcBot</w:t>
      </w:r>
    </w:p>
    <w:p>
      <w:r>
        <w:rPr>
          <w:b/>
        </w:rPr>
        <w:t>1_本周的历史波动率与隐含波动率的统计</w:t>
      </w:r>
    </w:p>
    <w:p>
      <w:pPr>
        <w:pStyle w:val="ListBullet"/>
      </w:pPr>
      <w:r>
        <w:t>本周波动率与隐含波动率都从低位回升，CTA策略有较好的表现。</w:t>
      </w:r>
    </w:p>
    <w:p>
      <w:r>
        <w:t>波动率过小会导致盈利空间不足带来的磨损，而波动率过大风险也会随之放大，对策略最佳的波动率处于适中状态。</w:t>
      </w:r>
    </w:p>
    <w:p>
      <w:r>
        <w:drawing>
          <wp:inline xmlns:a="http://schemas.openxmlformats.org/drawingml/2006/main" xmlns:pic="http://schemas.openxmlformats.org/drawingml/2006/picture">
            <wp:extent cx="5669280" cy="3200400"/>
            <wp:docPr id="1" name="Picture 1"/>
            <wp:cNvGraphicFramePr>
              <a:graphicFrameLocks noChangeAspect="1"/>
            </wp:cNvGraphicFramePr>
            <a:graphic>
              <a:graphicData uri="http://schemas.openxmlformats.org/drawingml/2006/picture">
                <pic:pic>
                  <pic:nvPicPr>
                    <pic:cNvPr id="0" name="weeklyVol.png"/>
                    <pic:cNvPicPr/>
                  </pic:nvPicPr>
                  <pic:blipFill>
                    <a:blip r:embed="rId9"/>
                    <a:stretch>
                      <a:fillRect/>
                    </a:stretch>
                  </pic:blipFill>
                  <pic:spPr>
                    <a:xfrm>
                      <a:off x="0" y="0"/>
                      <a:ext cx="5669280" cy="3200400"/>
                    </a:xfrm>
                    <a:prstGeom prst="rect"/>
                  </pic:spPr>
                </pic:pic>
              </a:graphicData>
            </a:graphic>
          </wp:inline>
        </w:drawing>
      </w:r>
    </w:p>
    <w:tbl>
      <w:tblPr>
        <w:tblStyle w:val="LightGrid-Accent1"/>
        <w:tblW w:type="auto" w:w="0"/>
        <w:tblLook w:firstColumn="1" w:firstRow="1" w:lastColumn="0" w:lastRow="0" w:noHBand="0" w:noVBand="1" w:val="04A0"/>
      </w:tblPr>
      <w:tblGrid>
        <w:gridCol w:w="2880"/>
        <w:gridCol w:w="2880"/>
        <w:gridCol w:w="2880"/>
      </w:tblGrid>
      <w:tr>
        <w:tc>
          <w:tcPr>
            <w:tcW w:type="dxa" w:w="5760"/>
          </w:tcPr>
          <w:p>
            <w:r>
              <w:t>2023-01-06~2023-01-13</w:t>
            </w:r>
          </w:p>
        </w:tc>
        <w:tc>
          <w:tcPr>
            <w:tcW w:type="dxa" w:w="1440"/>
          </w:tcPr>
          <w:p>
            <w:r>
              <w:t>BTC</w:t>
            </w:r>
          </w:p>
        </w:tc>
        <w:tc>
          <w:tcPr>
            <w:tcW w:type="dxa" w:w="1440"/>
          </w:tcPr>
          <w:p>
            <w:r>
              <w:t>ETH</w:t>
            </w:r>
          </w:p>
        </w:tc>
      </w:tr>
      <w:tr>
        <w:tc>
          <w:tcPr>
            <w:tcW w:type="dxa" w:w="2880"/>
          </w:tcPr>
          <w:p>
            <w:r>
              <w:t>Current Historical Volatility</w:t>
            </w:r>
          </w:p>
        </w:tc>
        <w:tc>
          <w:tcPr>
            <w:tcW w:type="dxa" w:w="2880"/>
          </w:tcPr>
          <w:p>
            <w:r>
              <w:t>3.44%</w:t>
            </w:r>
          </w:p>
        </w:tc>
        <w:tc>
          <w:tcPr>
            <w:tcW w:type="dxa" w:w="2880"/>
          </w:tcPr>
          <w:p>
            <w:r>
              <w:t>4.23%</w:t>
            </w:r>
          </w:p>
        </w:tc>
      </w:tr>
      <w:tr>
        <w:tc>
          <w:tcPr>
            <w:tcW w:type="dxa" w:w="2880"/>
          </w:tcPr>
          <w:p>
            <w:r>
              <w:t>Current Historical Volatility Quantile</w:t>
            </w:r>
          </w:p>
        </w:tc>
        <w:tc>
          <w:tcPr>
            <w:tcW w:type="dxa" w:w="2880"/>
          </w:tcPr>
          <w:p>
            <w:r>
              <w:t>74.02%</w:t>
            </w:r>
          </w:p>
        </w:tc>
        <w:tc>
          <w:tcPr>
            <w:tcW w:type="dxa" w:w="2880"/>
          </w:tcPr>
          <w:p>
            <w:r>
              <w:t>65.71%</w:t>
            </w:r>
          </w:p>
        </w:tc>
      </w:tr>
      <w:tr>
        <w:tc>
          <w:tcPr>
            <w:tcW w:type="dxa" w:w="2880"/>
          </w:tcPr>
          <w:p>
            <w:r>
              <w:t>Weekly Mean of Historical Volatility</w:t>
            </w:r>
          </w:p>
        </w:tc>
        <w:tc>
          <w:tcPr>
            <w:tcW w:type="dxa" w:w="2880"/>
          </w:tcPr>
          <w:p>
            <w:r>
              <w:t>1.23%</w:t>
            </w:r>
          </w:p>
        </w:tc>
        <w:tc>
          <w:tcPr>
            <w:tcW w:type="dxa" w:w="2880"/>
          </w:tcPr>
          <w:p>
            <w:r>
              <w:t>1.82%</w:t>
            </w:r>
          </w:p>
        </w:tc>
      </w:tr>
      <w:tr>
        <w:tc>
          <w:tcPr>
            <w:tcW w:type="dxa" w:w="2880"/>
          </w:tcPr>
          <w:p>
            <w:r>
              <w:t>Weekly Pct_Change of Historical Volatility</w:t>
            </w:r>
          </w:p>
        </w:tc>
        <w:tc>
          <w:tcPr>
            <w:tcW w:type="dxa" w:w="2880"/>
          </w:tcPr>
          <w:p>
            <w:r>
              <w:t>328.49%</w:t>
            </w:r>
          </w:p>
        </w:tc>
        <w:tc>
          <w:tcPr>
            <w:tcW w:type="dxa" w:w="2880"/>
          </w:tcPr>
          <w:p>
            <w:r>
              <w:t>178.58%</w:t>
            </w:r>
          </w:p>
        </w:tc>
      </w:tr>
    </w:tbl>
    <w:p/>
    <w:tbl>
      <w:tblPr>
        <w:tblStyle w:val="LightGrid-Accent1"/>
        <w:tblW w:type="auto" w:w="0"/>
        <w:tblLook w:firstColumn="1" w:firstRow="1" w:lastColumn="0" w:lastRow="0" w:noHBand="0" w:noVBand="1" w:val="04A0"/>
      </w:tblPr>
      <w:tblGrid>
        <w:gridCol w:w="2880"/>
        <w:gridCol w:w="2880"/>
        <w:gridCol w:w="2880"/>
      </w:tblGrid>
      <w:tr>
        <w:tc>
          <w:tcPr>
            <w:tcW w:type="dxa" w:w="5760"/>
          </w:tcPr>
          <w:p>
            <w:r>
              <w:t>2023-01-06~2023-01-13</w:t>
            </w:r>
          </w:p>
        </w:tc>
        <w:tc>
          <w:tcPr>
            <w:tcW w:type="dxa" w:w="1440"/>
          </w:tcPr>
          <w:p>
            <w:r>
              <w:t>BTC</w:t>
            </w:r>
          </w:p>
        </w:tc>
        <w:tc>
          <w:tcPr>
            <w:tcW w:type="dxa" w:w="1440"/>
          </w:tcPr>
          <w:p>
            <w:r>
              <w:t>ETH</w:t>
            </w:r>
          </w:p>
        </w:tc>
      </w:tr>
      <w:tr>
        <w:tc>
          <w:tcPr>
            <w:tcW w:type="dxa" w:w="2880"/>
          </w:tcPr>
          <w:p>
            <w:r>
              <w:t>Current Implied Volatility</w:t>
            </w:r>
          </w:p>
        </w:tc>
        <w:tc>
          <w:tcPr>
            <w:tcW w:type="dxa" w:w="2880"/>
          </w:tcPr>
          <w:p>
            <w:r>
              <w:t>48</w:t>
            </w:r>
          </w:p>
        </w:tc>
        <w:tc>
          <w:tcPr>
            <w:tcW w:type="dxa" w:w="2880"/>
          </w:tcPr>
          <w:p>
            <w:r>
              <w:t>65</w:t>
            </w:r>
          </w:p>
        </w:tc>
      </w:tr>
      <w:tr>
        <w:tc>
          <w:tcPr>
            <w:tcW w:type="dxa" w:w="2880"/>
          </w:tcPr>
          <w:p>
            <w:r>
              <w:t>Current Implied Quantile</w:t>
            </w:r>
          </w:p>
        </w:tc>
        <w:tc>
          <w:tcPr>
            <w:tcW w:type="dxa" w:w="2880"/>
          </w:tcPr>
          <w:p>
            <w:r>
              <w:t>0.0%</w:t>
            </w:r>
          </w:p>
        </w:tc>
        <w:tc>
          <w:tcPr>
            <w:tcW w:type="dxa" w:w="2880"/>
          </w:tcPr>
          <w:p>
            <w:r>
              <w:t>1.09%</w:t>
            </w:r>
          </w:p>
        </w:tc>
      </w:tr>
      <w:tr>
        <w:tc>
          <w:tcPr>
            <w:tcW w:type="dxa" w:w="2880"/>
          </w:tcPr>
          <w:p>
            <w:r>
              <w:t>Weekly Mean of Implied Volatility</w:t>
            </w:r>
          </w:p>
        </w:tc>
        <w:tc>
          <w:tcPr>
            <w:tcW w:type="dxa" w:w="2880"/>
          </w:tcPr>
          <w:p>
            <w:r>
              <w:t>46</w:t>
            </w:r>
          </w:p>
        </w:tc>
        <w:tc>
          <w:tcPr>
            <w:tcW w:type="dxa" w:w="2880"/>
          </w:tcPr>
          <w:p>
            <w:r>
              <w:t>63</w:t>
            </w:r>
          </w:p>
        </w:tc>
      </w:tr>
      <w:tr>
        <w:tc>
          <w:tcPr>
            <w:tcW w:type="dxa" w:w="2880"/>
          </w:tcPr>
          <w:p>
            <w:r>
              <w:t>Weekly Pct Change of Implied Volatility</w:t>
            </w:r>
          </w:p>
        </w:tc>
        <w:tc>
          <w:tcPr>
            <w:tcW w:type="dxa" w:w="2880"/>
          </w:tcPr>
          <w:p>
            <w:r>
              <w:t>5.24%</w:t>
            </w:r>
          </w:p>
        </w:tc>
        <w:tc>
          <w:tcPr>
            <w:tcW w:type="dxa" w:w="2880"/>
          </w:tcPr>
          <w:p>
            <w:r>
              <w:t>7.01%</w:t>
            </w:r>
          </w:p>
        </w:tc>
      </w:tr>
    </w:tbl>
    <w:p/>
    <w:p>
      <w:r>
        <w:rPr>
          <w:b/>
        </w:rPr>
        <w:t>2_2023美国数据公布的时间（瞬间波动率）</w:t>
      </w:r>
    </w:p>
    <w:p>
      <w:pPr>
        <w:pStyle w:val="ListBullet"/>
      </w:pPr>
      <w:r>
        <w:t>本月的非农数据与CPI公布后都有较大幅的上涨，事件驱动策略有较好的表现。</w:t>
      </w:r>
    </w:p>
    <w:p>
      <w:r>
        <w:t>事件驱动策略，是一种利用市场的非有效性，通过挖掘市场信息决定采取对相关投资标的物多头或空头态度的一种投资策略。另外FOMC公布时，市场波动极大，风险较高，策略需要提前设置防范措施。</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Non Farm Payrolls</w:t>
            </w:r>
          </w:p>
        </w:tc>
        <w:tc>
          <w:tcPr>
            <w:tcW w:type="dxa" w:w="2880"/>
          </w:tcPr>
          <w:p>
            <w:r>
              <w:t>The Cumsumer Price Index</w:t>
            </w:r>
          </w:p>
        </w:tc>
        <w:tc>
          <w:tcPr>
            <w:tcW w:type="dxa" w:w="2880"/>
          </w:tcPr>
          <w:p>
            <w:r>
              <w:t>FOMC</w:t>
            </w:r>
          </w:p>
        </w:tc>
      </w:tr>
      <w:tr>
        <w:tc>
          <w:tcPr>
            <w:tcW w:type="dxa" w:w="2880"/>
          </w:tcPr>
          <w:p>
            <w:r>
              <w:t>2023-01-06 21:30:00</w:t>
            </w:r>
          </w:p>
        </w:tc>
        <w:tc>
          <w:tcPr>
            <w:tcW w:type="dxa" w:w="2880"/>
          </w:tcPr>
          <w:p>
            <w:r>
              <w:t>2023-01-12 21:30:00</w:t>
            </w:r>
          </w:p>
        </w:tc>
        <w:tc>
          <w:tcPr>
            <w:tcW w:type="dxa" w:w="2880"/>
          </w:tcPr>
          <w:p>
            <w:r>
              <w:t>2023-02-03 02:00:00</w:t>
            </w:r>
          </w:p>
        </w:tc>
      </w:tr>
      <w:tr>
        <w:tc>
          <w:tcPr>
            <w:tcW w:type="dxa" w:w="2880"/>
          </w:tcPr>
          <w:p>
            <w:r>
              <w:t>2023-02-03 21:30:00</w:t>
            </w:r>
          </w:p>
        </w:tc>
        <w:tc>
          <w:tcPr>
            <w:tcW w:type="dxa" w:w="2880"/>
          </w:tcPr>
          <w:p>
            <w:r>
              <w:t>2023-02-14 21:30:00</w:t>
            </w:r>
          </w:p>
        </w:tc>
        <w:tc>
          <w:tcPr>
            <w:tcW w:type="dxa" w:w="2880"/>
          </w:tcPr>
          <w:p>
            <w:r>
              <w:t>2023-03-17 02:00:00</w:t>
            </w:r>
          </w:p>
        </w:tc>
      </w:tr>
      <w:tr>
        <w:tc>
          <w:tcPr>
            <w:tcW w:type="dxa" w:w="2880"/>
          </w:tcPr>
          <w:p>
            <w:r>
              <w:t>2023-03-03 21:30:00</w:t>
            </w:r>
          </w:p>
        </w:tc>
        <w:tc>
          <w:tcPr>
            <w:tcW w:type="dxa" w:w="2880"/>
          </w:tcPr>
          <w:p>
            <w:r>
              <w:t>2023-03-14 20:30:00</w:t>
            </w:r>
          </w:p>
        </w:tc>
        <w:tc>
          <w:tcPr>
            <w:tcW w:type="dxa" w:w="2880"/>
          </w:tcPr>
          <w:p>
            <w:r>
              <w:t>2023-05-05 02:00:00</w:t>
            </w:r>
          </w:p>
        </w:tc>
      </w:tr>
      <w:tr>
        <w:tc>
          <w:tcPr>
            <w:tcW w:type="dxa" w:w="2880"/>
          </w:tcPr>
          <w:p>
            <w:r>
              <w:t>2023-04-07 20:30:00</w:t>
            </w:r>
          </w:p>
        </w:tc>
        <w:tc>
          <w:tcPr>
            <w:tcW w:type="dxa" w:w="2880"/>
          </w:tcPr>
          <w:p>
            <w:r>
              <w:t>2023-04-12 20:30:00</w:t>
            </w:r>
          </w:p>
        </w:tc>
        <w:tc>
          <w:tcPr>
            <w:tcW w:type="dxa" w:w="2880"/>
          </w:tcPr>
          <w:p>
            <w:r>
              <w:t>2023-06-16 02:00:00</w:t>
            </w:r>
          </w:p>
        </w:tc>
      </w:tr>
      <w:tr>
        <w:tc>
          <w:tcPr>
            <w:tcW w:type="dxa" w:w="2880"/>
          </w:tcPr>
          <w:p>
            <w:r>
              <w:t>2023-05-08 20:30:00</w:t>
            </w:r>
          </w:p>
        </w:tc>
        <w:tc>
          <w:tcPr>
            <w:tcW w:type="dxa" w:w="2880"/>
          </w:tcPr>
          <w:p>
            <w:r>
              <w:t>2023-05-10 20:30:00</w:t>
            </w:r>
          </w:p>
        </w:tc>
        <w:tc>
          <w:tcPr>
            <w:tcW w:type="dxa" w:w="2880"/>
          </w:tcPr>
          <w:p>
            <w:r>
              <w:t>2023-07-28 02:00:00</w:t>
            </w:r>
          </w:p>
        </w:tc>
      </w:tr>
      <w:tr>
        <w:tc>
          <w:tcPr>
            <w:tcW w:type="dxa" w:w="2880"/>
          </w:tcPr>
          <w:p>
            <w:r>
              <w:t>2023-06-02 20:30:00</w:t>
            </w:r>
          </w:p>
        </w:tc>
        <w:tc>
          <w:tcPr>
            <w:tcW w:type="dxa" w:w="2880"/>
          </w:tcPr>
          <w:p>
            <w:r>
              <w:t>2023-06-13 20:30:00</w:t>
            </w:r>
          </w:p>
        </w:tc>
        <w:tc>
          <w:tcPr>
            <w:tcW w:type="dxa" w:w="2880"/>
          </w:tcPr>
          <w:p>
            <w:r>
              <w:t>2023-09-22 02:00:00</w:t>
            </w:r>
          </w:p>
        </w:tc>
      </w:tr>
      <w:tr>
        <w:tc>
          <w:tcPr>
            <w:tcW w:type="dxa" w:w="2880"/>
          </w:tcPr>
          <w:p>
            <w:r>
              <w:t>2023-07-07 20:30:00</w:t>
            </w:r>
          </w:p>
        </w:tc>
        <w:tc>
          <w:tcPr>
            <w:tcW w:type="dxa" w:w="2880"/>
          </w:tcPr>
          <w:p>
            <w:r>
              <w:t>2023-07-12 20:30:00</w:t>
            </w:r>
          </w:p>
        </w:tc>
        <w:tc>
          <w:tcPr>
            <w:tcW w:type="dxa" w:w="2880"/>
          </w:tcPr>
          <w:p>
            <w:r>
              <w:t>2023-11-03 02:00:00</w:t>
            </w:r>
          </w:p>
        </w:tc>
      </w:tr>
      <w:tr>
        <w:tc>
          <w:tcPr>
            <w:tcW w:type="dxa" w:w="2880"/>
          </w:tcPr>
          <w:p>
            <w:r>
              <w:t>2023-08-04 20:30:00</w:t>
            </w:r>
          </w:p>
        </w:tc>
        <w:tc>
          <w:tcPr>
            <w:tcW w:type="dxa" w:w="2880"/>
          </w:tcPr>
          <w:p>
            <w:r>
              <w:t>2023-08-10 20:30:00</w:t>
            </w:r>
          </w:p>
        </w:tc>
        <w:tc>
          <w:tcPr>
            <w:tcW w:type="dxa" w:w="2880"/>
          </w:tcPr>
          <w:p>
            <w:r>
              <w:t>2023-12-15 02:00:00</w:t>
            </w:r>
          </w:p>
        </w:tc>
      </w:tr>
      <w:tr>
        <w:tc>
          <w:tcPr>
            <w:tcW w:type="dxa" w:w="2880"/>
          </w:tcPr>
          <w:p>
            <w:r>
              <w:t>2023-09-01 20:30:00</w:t>
            </w:r>
          </w:p>
        </w:tc>
        <w:tc>
          <w:tcPr>
            <w:tcW w:type="dxa" w:w="2880"/>
          </w:tcPr>
          <w:p>
            <w:r>
              <w:t>2023-09-13 20:30:00</w:t>
            </w:r>
          </w:p>
        </w:tc>
        <w:tc>
          <w:tcPr>
            <w:tcW w:type="dxa" w:w="2880"/>
          </w:tcPr>
          <w:p>
            <w:r>
              <w:t>nan</w:t>
            </w:r>
          </w:p>
        </w:tc>
      </w:tr>
      <w:tr>
        <w:tc>
          <w:tcPr>
            <w:tcW w:type="dxa" w:w="2880"/>
          </w:tcPr>
          <w:p>
            <w:r>
              <w:t>2023-10-06 20:30:00</w:t>
            </w:r>
          </w:p>
        </w:tc>
        <w:tc>
          <w:tcPr>
            <w:tcW w:type="dxa" w:w="2880"/>
          </w:tcPr>
          <w:p>
            <w:r>
              <w:t>2023-10-12 20:30:00</w:t>
            </w:r>
          </w:p>
        </w:tc>
        <w:tc>
          <w:tcPr>
            <w:tcW w:type="dxa" w:w="2880"/>
          </w:tcPr>
          <w:p>
            <w:r>
              <w:t>nan</w:t>
            </w:r>
          </w:p>
        </w:tc>
      </w:tr>
      <w:tr>
        <w:tc>
          <w:tcPr>
            <w:tcW w:type="dxa" w:w="2880"/>
          </w:tcPr>
          <w:p>
            <w:r>
              <w:t>2023-11-03 20:30:00</w:t>
            </w:r>
          </w:p>
        </w:tc>
        <w:tc>
          <w:tcPr>
            <w:tcW w:type="dxa" w:w="2880"/>
          </w:tcPr>
          <w:p>
            <w:r>
              <w:t>2023-11-14 21:30:00</w:t>
            </w:r>
          </w:p>
        </w:tc>
        <w:tc>
          <w:tcPr>
            <w:tcW w:type="dxa" w:w="2880"/>
          </w:tcPr>
          <w:p>
            <w:r>
              <w:t>nan</w:t>
            </w:r>
          </w:p>
        </w:tc>
      </w:tr>
      <w:tr>
        <w:tc>
          <w:tcPr>
            <w:tcW w:type="dxa" w:w="2880"/>
          </w:tcPr>
          <w:p>
            <w:r>
              <w:t>2023-12-01 21:30:00</w:t>
            </w:r>
          </w:p>
        </w:tc>
        <w:tc>
          <w:tcPr>
            <w:tcW w:type="dxa" w:w="2880"/>
          </w:tcPr>
          <w:p>
            <w:r>
              <w:t>2023-12-12 21:30:00</w:t>
            </w:r>
          </w:p>
        </w:tc>
        <w:tc>
          <w:tcPr>
            <w:tcW w:type="dxa" w:w="2880"/>
          </w:tcPr>
          <w:p>
            <w:r>
              <w:t>nan</w:t>
            </w:r>
          </w:p>
        </w:tc>
      </w:tr>
    </w:tbl>
    <w:p>
      <w:r>
        <w:t>上表为2023年美国主要数据的公布事件</w:t>
      </w:r>
    </w:p>
    <w:p>
      <w:r>
        <w:drawing>
          <wp:inline xmlns:a="http://schemas.openxmlformats.org/drawingml/2006/main" xmlns:pic="http://schemas.openxmlformats.org/drawingml/2006/picture">
            <wp:extent cx="5669280" cy="2286000"/>
            <wp:docPr id="2" name="Picture 2"/>
            <wp:cNvGraphicFramePr>
              <a:graphicFrameLocks noChangeAspect="1"/>
            </wp:cNvGraphicFramePr>
            <a:graphic>
              <a:graphicData uri="http://schemas.openxmlformats.org/drawingml/2006/picture">
                <pic:pic>
                  <pic:nvPicPr>
                    <pic:cNvPr id="0" name="eventDrivenPerf.png"/>
                    <pic:cNvPicPr/>
                  </pic:nvPicPr>
                  <pic:blipFill>
                    <a:blip r:embed="rId10"/>
                    <a:stretch>
                      <a:fillRect/>
                    </a:stretch>
                  </pic:blipFill>
                  <pic:spPr>
                    <a:xfrm>
                      <a:off x="0" y="0"/>
                      <a:ext cx="5669280" cy="2286000"/>
                    </a:xfrm>
                    <a:prstGeom prst="rect"/>
                  </pic:spPr>
                </pic:pic>
              </a:graphicData>
            </a:graphic>
          </wp:inline>
        </w:drawing>
      </w:r>
    </w:p>
    <w:p>
      <w:r>
        <w:t>上表与图显示事件驱动策略的收益表现</w:t>
      </w:r>
    </w:p>
    <w:tbl>
      <w:tblPr>
        <w:tblStyle w:val="LightGrid-Accent1"/>
        <w:tblW w:type="auto" w:w="0"/>
        <w:tblLook w:firstColumn="1" w:firstRow="1" w:lastColumn="0" w:lastRow="0" w:noHBand="0" w:noVBand="1" w:val="04A0"/>
      </w:tblPr>
      <w:tblGrid>
        <w:gridCol w:w="4320"/>
        <w:gridCol w:w="4320"/>
      </w:tblGrid>
      <w:tr>
        <w:tc>
          <w:tcPr>
            <w:tcW w:type="dxa" w:w="5760"/>
          </w:tcPr>
          <w:p>
            <w:r>
              <w:t>Last 30 days</w:t>
            </w:r>
          </w:p>
        </w:tc>
        <w:tc>
          <w:tcPr>
            <w:tcW w:type="dxa" w:w="1440"/>
          </w:tcPr>
          <w:p>
            <w:r>
              <w:t>eventPerf</w:t>
            </w:r>
          </w:p>
        </w:tc>
      </w:tr>
      <w:tr>
        <w:tc>
          <w:tcPr>
            <w:tcW w:type="dxa" w:w="4320"/>
          </w:tcPr>
          <w:p>
            <w:r>
              <w:t>btcEventMonthlyReturn:</w:t>
            </w:r>
          </w:p>
        </w:tc>
        <w:tc>
          <w:tcPr>
            <w:tcW w:type="dxa" w:w="4320"/>
          </w:tcPr>
          <w:p>
            <w:r>
              <w:t>2.22%</w:t>
            </w:r>
          </w:p>
        </w:tc>
      </w:tr>
      <w:tr>
        <w:tc>
          <w:tcPr>
            <w:tcW w:type="dxa" w:w="4320"/>
          </w:tcPr>
          <w:p>
            <w:r>
              <w:t>ethEventMonthlyReturn:</w:t>
            </w:r>
          </w:p>
        </w:tc>
        <w:tc>
          <w:tcPr>
            <w:tcW w:type="dxa" w:w="4320"/>
          </w:tcPr>
          <w:p>
            <w:r>
              <w:t>1.82%</w:t>
            </w:r>
          </w:p>
        </w:tc>
      </w:tr>
    </w:tbl>
    <w:p/>
    <w:p>
      <w:r>
        <w:t xml:space="preserve"> </w:t>
      </w:r>
      <w:r>
        <w:rPr>
          <w:b/>
        </w:rPr>
        <w:t>3. 价量分布图（支撑阻力）</w:t>
      </w:r>
    </w:p>
    <w:p>
      <w:pPr>
        <w:pStyle w:val="ListBullet"/>
      </w:pPr>
      <w:r>
        <w:t>本周密集成交价从下向上移动，目前停留在过去的相对高位。</w:t>
      </w:r>
    </w:p>
    <w:p>
      <w:r>
        <w:t>成交量分布是一种高级图表指标，显示交易者在指定时间段内每个价格范围的总交易量。</w:t>
      </w:r>
    </w:p>
    <w:p>
      <w:r>
        <w:drawing>
          <wp:inline xmlns:a="http://schemas.openxmlformats.org/drawingml/2006/main" xmlns:pic="http://schemas.openxmlformats.org/drawingml/2006/picture">
            <wp:extent cx="5669280" cy="1828800"/>
            <wp:docPr id="3" name="Picture 3"/>
            <wp:cNvGraphicFramePr>
              <a:graphicFrameLocks noChangeAspect="1"/>
            </wp:cNvGraphicFramePr>
            <a:graphic>
              <a:graphicData uri="http://schemas.openxmlformats.org/drawingml/2006/picture">
                <pic:pic>
                  <pic:nvPicPr>
                    <pic:cNvPr id="0" name="btcVolumeProfile.png"/>
                    <pic:cNvPicPr/>
                  </pic:nvPicPr>
                  <pic:blipFill>
                    <a:blip r:embed="rId11"/>
                    <a:stretch>
                      <a:fillRect/>
                    </a:stretch>
                  </pic:blipFill>
                  <pic:spPr>
                    <a:xfrm>
                      <a:off x="0" y="0"/>
                      <a:ext cx="5669280" cy="1828800"/>
                    </a:xfrm>
                    <a:prstGeom prst="rect"/>
                  </pic:spPr>
                </pic:pic>
              </a:graphicData>
            </a:graphic>
          </wp:inline>
        </w:drawing>
      </w:r>
    </w:p>
    <w:p>
      <w:r>
        <w:t>上图左边是BTC在过去一个月的成交量分布，中间是BTC的价格走势，右边是过去一周的成交量分布</w:t>
      </w:r>
    </w:p>
    <w:p>
      <w:r>
        <w:drawing>
          <wp:inline xmlns:a="http://schemas.openxmlformats.org/drawingml/2006/main" xmlns:pic="http://schemas.openxmlformats.org/drawingml/2006/picture">
            <wp:extent cx="5669280" cy="1828800"/>
            <wp:docPr id="4" name="Picture 4"/>
            <wp:cNvGraphicFramePr>
              <a:graphicFrameLocks noChangeAspect="1"/>
            </wp:cNvGraphicFramePr>
            <a:graphic>
              <a:graphicData uri="http://schemas.openxmlformats.org/drawingml/2006/picture">
                <pic:pic>
                  <pic:nvPicPr>
                    <pic:cNvPr id="0" name="ethVolumeProfile.png"/>
                    <pic:cNvPicPr/>
                  </pic:nvPicPr>
                  <pic:blipFill>
                    <a:blip r:embed="rId12"/>
                    <a:stretch>
                      <a:fillRect/>
                    </a:stretch>
                  </pic:blipFill>
                  <pic:spPr>
                    <a:xfrm>
                      <a:off x="0" y="0"/>
                      <a:ext cx="5669280" cy="1828800"/>
                    </a:xfrm>
                    <a:prstGeom prst="rect"/>
                  </pic:spPr>
                </pic:pic>
              </a:graphicData>
            </a:graphic>
          </wp:inline>
        </w:drawing>
      </w:r>
    </w:p>
    <w:p>
      <w:r>
        <w:t>上图左边是ETH在过去一个月的成交量分布，中间是ETH的价格走势，右边是过去一周的成交量分布</w:t>
      </w:r>
    </w:p>
    <w:tbl>
      <w:tblPr>
        <w:tblStyle w:val="LightGrid-Accent1"/>
        <w:tblW w:type="auto" w:w="0"/>
        <w:tblLook w:firstColumn="1" w:firstRow="1" w:lastColumn="0" w:lastRow="0" w:noHBand="0" w:noVBand="1" w:val="04A0"/>
      </w:tblPr>
      <w:tblGrid>
        <w:gridCol w:w="2880"/>
        <w:gridCol w:w="2880"/>
        <w:gridCol w:w="2880"/>
      </w:tblGrid>
      <w:tr>
        <w:tc>
          <w:tcPr>
            <w:tcW w:type="dxa" w:w="5760"/>
          </w:tcPr>
          <w:p>
            <w:r>
              <w:t>weeklyVolumeProfile</w:t>
            </w:r>
          </w:p>
        </w:tc>
        <w:tc>
          <w:tcPr>
            <w:tcW w:type="dxa" w:w="1440"/>
          </w:tcPr>
          <w:p>
            <w:r>
              <w:t>BTC</w:t>
            </w:r>
          </w:p>
        </w:tc>
        <w:tc>
          <w:tcPr>
            <w:tcW w:type="dxa" w:w="1440"/>
          </w:tcPr>
          <w:p>
            <w:r>
              <w:t>ETH</w:t>
            </w:r>
          </w:p>
        </w:tc>
      </w:tr>
      <w:tr>
        <w:tc>
          <w:tcPr>
            <w:tcW w:type="dxa" w:w="2880"/>
          </w:tcPr>
          <w:p>
            <w:r>
              <w:t>Point Of Control</w:t>
            </w:r>
          </w:p>
        </w:tc>
        <w:tc>
          <w:tcPr>
            <w:tcW w:type="dxa" w:w="2880"/>
          </w:tcPr>
          <w:p>
            <w:r>
              <w:t>18151.13</w:t>
            </w:r>
          </w:p>
        </w:tc>
        <w:tc>
          <w:tcPr>
            <w:tcW w:type="dxa" w:w="2880"/>
          </w:tcPr>
          <w:p>
            <w:r>
              <w:t>1400.68</w:t>
            </w:r>
          </w:p>
        </w:tc>
      </w:tr>
      <w:tr>
        <w:tc>
          <w:tcPr>
            <w:tcW w:type="dxa" w:w="2880"/>
          </w:tcPr>
          <w:p>
            <w:r>
              <w:t>Support</w:t>
            </w:r>
          </w:p>
        </w:tc>
        <w:tc>
          <w:tcPr>
            <w:tcW w:type="dxa" w:w="2880"/>
          </w:tcPr>
          <w:p>
            <w:r>
              <w:t>18068.21</w:t>
            </w:r>
          </w:p>
        </w:tc>
        <w:tc>
          <w:tcPr>
            <w:tcW w:type="dxa" w:w="2880"/>
          </w:tcPr>
          <w:p>
            <w:r>
              <w:t>1394.25</w:t>
            </w:r>
          </w:p>
        </w:tc>
      </w:tr>
      <w:tr>
        <w:tc>
          <w:tcPr>
            <w:tcW w:type="dxa" w:w="2880"/>
          </w:tcPr>
          <w:p>
            <w:r>
              <w:t>Resistance</w:t>
            </w:r>
          </w:p>
        </w:tc>
        <w:tc>
          <w:tcPr>
            <w:tcW w:type="dxa" w:w="2880"/>
          </w:tcPr>
          <w:p>
            <w:r>
              <w:t>18294.74</w:t>
            </w:r>
          </w:p>
        </w:tc>
        <w:tc>
          <w:tcPr>
            <w:tcW w:type="dxa" w:w="2880"/>
          </w:tcPr>
          <w:p>
            <w:r>
              <w:t>1406.42</w:t>
            </w:r>
          </w:p>
        </w:tc>
      </w:tr>
    </w:tbl>
    <w:p>
      <w:r>
        <w:t>表格显示过去一周的成交量最大的价格与支撑阻力</w:t>
      </w:r>
    </w:p>
    <w:p/>
    <w:p>
      <w:r>
        <w:rPr>
          <w:b/>
        </w:rPr>
        <w:t>3. 成交量与未平仓量的值与变化率</w:t>
      </w:r>
    </w:p>
    <w:p>
      <w:pPr>
        <w:pStyle w:val="ListBullet"/>
      </w:pPr>
      <w:r>
        <w:t>本周价格与成交量有明显上升，未平仓量周初上升随价格拉升后开始回落。</w:t>
      </w:r>
    </w:p>
    <w:p>
      <w:r>
        <w:t>成交量越大，代表人们对该币的兴趣就越大。投资者常将成交量视为价格走势强弱与流动性的指标。未平仓量不断增加的表明新的交易者正在进入市场，并可能被用来确认当前的市场趋势。未平仓头寸的下降表明交易员正在平仓，目前的趋势可能正在减弱。</w:t>
      </w:r>
    </w:p>
    <w:p>
      <w:r>
        <w:drawing>
          <wp:inline xmlns:a="http://schemas.openxmlformats.org/drawingml/2006/main" xmlns:pic="http://schemas.openxmlformats.org/drawingml/2006/picture">
            <wp:extent cx="5669280" cy="4572000"/>
            <wp:docPr id="5" name="Picture 5"/>
            <wp:cNvGraphicFramePr>
              <a:graphicFrameLocks noChangeAspect="1"/>
            </wp:cNvGraphicFramePr>
            <a:graphic>
              <a:graphicData uri="http://schemas.openxmlformats.org/drawingml/2006/picture">
                <pic:pic>
                  <pic:nvPicPr>
                    <pic:cNvPr id="0" name="oiVolumePriceBtc.png"/>
                    <pic:cNvPicPr/>
                  </pic:nvPicPr>
                  <pic:blipFill>
                    <a:blip r:embed="rId13"/>
                    <a:stretch>
                      <a:fillRect/>
                    </a:stretch>
                  </pic:blipFill>
                  <pic:spPr>
                    <a:xfrm>
                      <a:off x="0" y="0"/>
                      <a:ext cx="5669280" cy="4572000"/>
                    </a:xfrm>
                    <a:prstGeom prst="rect"/>
                  </pic:spPr>
                </pic:pic>
              </a:graphicData>
            </a:graphic>
          </wp:inline>
        </w:drawing>
      </w:r>
    </w:p>
    <w:p>
      <w:r>
        <w:t>上图最上方BTC的价格走势，中间是BTC成交量、过去一周成交量和一个月的成交量均值，最下方是BTC未平仓量、过去一周和一个月的未平仓量均值。</w:t>
      </w:r>
    </w:p>
    <w:p>
      <w:r>
        <w:drawing>
          <wp:inline xmlns:a="http://schemas.openxmlformats.org/drawingml/2006/main" xmlns:pic="http://schemas.openxmlformats.org/drawingml/2006/picture">
            <wp:extent cx="5669280" cy="4572000"/>
            <wp:docPr id="6" name="Picture 6"/>
            <wp:cNvGraphicFramePr>
              <a:graphicFrameLocks noChangeAspect="1"/>
            </wp:cNvGraphicFramePr>
            <a:graphic>
              <a:graphicData uri="http://schemas.openxmlformats.org/drawingml/2006/picture">
                <pic:pic>
                  <pic:nvPicPr>
                    <pic:cNvPr id="0" name="oiVolumePriceBtc.png"/>
                    <pic:cNvPicPr/>
                  </pic:nvPicPr>
                  <pic:blipFill>
                    <a:blip r:embed="rId13"/>
                    <a:stretch>
                      <a:fillRect/>
                    </a:stretch>
                  </pic:blipFill>
                  <pic:spPr>
                    <a:xfrm>
                      <a:off x="0" y="0"/>
                      <a:ext cx="5669280" cy="4572000"/>
                    </a:xfrm>
                    <a:prstGeom prst="rect"/>
                  </pic:spPr>
                </pic:pic>
              </a:graphicData>
            </a:graphic>
          </wp:inline>
        </w:drawing>
      </w:r>
    </w:p>
    <w:p>
      <w:r>
        <w:t>上图最上方ETH的价格走势，中间是ETH成交量、过去一周成交量和一个月的成交量均值，最下方是ETH未平仓量、过去一周和一个月的未平仓量均值。</w:t>
      </w:r>
    </w:p>
    <w:p>
      <w:r>
        <w:t>除了成交量和未平仓量指标本身，投资者可以通过关注长短期比率的变化率来及时察觉市场的变化。</w:t>
      </w:r>
    </w:p>
    <w:p>
      <w:r>
        <w:drawing>
          <wp:inline xmlns:a="http://schemas.openxmlformats.org/drawingml/2006/main" xmlns:pic="http://schemas.openxmlformats.org/drawingml/2006/picture">
            <wp:extent cx="5669280" cy="4572000"/>
            <wp:docPr id="7" name="Picture 7"/>
            <wp:cNvGraphicFramePr>
              <a:graphicFrameLocks noChangeAspect="1"/>
            </wp:cNvGraphicFramePr>
            <a:graphic>
              <a:graphicData uri="http://schemas.openxmlformats.org/drawingml/2006/picture">
                <pic:pic>
                  <pic:nvPicPr>
                    <pic:cNvPr id="0" name="RatioChart.png"/>
                    <pic:cNvPicPr/>
                  </pic:nvPicPr>
                  <pic:blipFill>
                    <a:blip r:embed="rId14"/>
                    <a:stretch>
                      <a:fillRect/>
                    </a:stretch>
                  </pic:blipFill>
                  <pic:spPr>
                    <a:xfrm>
                      <a:off x="0" y="0"/>
                      <a:ext cx="5669280" cy="4572000"/>
                    </a:xfrm>
                    <a:prstGeom prst="rect"/>
                  </pic:spPr>
                </pic:pic>
              </a:graphicData>
            </a:graphic>
          </wp:inline>
        </w:drawing>
      </w:r>
    </w:p>
    <w:p>
      <w:r>
        <w:t>上图最上方BTC与ETH的过去一周价格均值与一个月的价格均值比率的走势，中间是BTC与ETH的过去一周成交量均值与一个月的成交量均值比率的走势，最下方是BTC与ETH的的过去一周未平仓量均值与一个月的未平仓量均值比率的走势。</w:t>
      </w:r>
    </w:p>
    <w:p>
      <w:r>
        <w:t>表格显示价格、成交量与未平仓量的过去一周与一个月均值的比率在不同天数的变化率。</w:t>
      </w:r>
    </w:p>
    <w:tbl>
      <w:tblPr>
        <w:tblStyle w:val="LightGrid-Accent1"/>
        <w:tblW w:type="auto" w:w="0"/>
        <w:tblLook w:firstColumn="1" w:firstRow="1" w:lastColumn="0" w:lastRow="0" w:noHBand="0" w:noVBand="1" w:val="04A0"/>
      </w:tblPr>
      <w:tblGrid>
        <w:gridCol w:w="1234"/>
        <w:gridCol w:w="1234"/>
        <w:gridCol w:w="1234"/>
        <w:gridCol w:w="1234"/>
        <w:gridCol w:w="1234"/>
        <w:gridCol w:w="1234"/>
        <w:gridCol w:w="1234"/>
      </w:tblGrid>
      <w:tr>
        <w:tc>
          <w:tcPr>
            <w:tcW w:type="dxa" w:w="5760"/>
          </w:tcPr>
          <w:p>
            <w:r>
              <w:t>periodPctChange</w:t>
            </w:r>
          </w:p>
        </w:tc>
        <w:tc>
          <w:tcPr>
            <w:tcW w:type="dxa" w:w="1440"/>
          </w:tcPr>
          <w:p>
            <w:r>
              <w:t>1Day</w:t>
            </w:r>
          </w:p>
        </w:tc>
        <w:tc>
          <w:tcPr>
            <w:tcW w:type="dxa" w:w="1440"/>
          </w:tcPr>
          <w:p>
            <w:r>
              <w:t>3Day</w:t>
            </w:r>
          </w:p>
        </w:tc>
        <w:tc>
          <w:tcPr>
            <w:tcW w:type="dxa" w:w="1440"/>
          </w:tcPr>
          <w:p>
            <w:r>
              <w:t>5Day</w:t>
            </w:r>
          </w:p>
        </w:tc>
        <w:tc>
          <w:tcPr>
            <w:tcW w:type="dxa" w:w="1440"/>
          </w:tcPr>
          <w:p>
            <w:r>
              <w:t>8Day</w:t>
            </w:r>
          </w:p>
        </w:tc>
        <w:tc>
          <w:tcPr>
            <w:tcW w:type="dxa" w:w="1440"/>
          </w:tcPr>
          <w:p>
            <w:r>
              <w:t>13Day</w:t>
            </w:r>
          </w:p>
        </w:tc>
        <w:tc>
          <w:tcPr>
            <w:tcW w:type="dxa" w:w="1440"/>
          </w:tcPr>
          <w:p>
            <w:r>
              <w:t>avg</w:t>
            </w:r>
          </w:p>
        </w:tc>
      </w:tr>
      <w:tr>
        <w:tc>
          <w:tcPr>
            <w:tcW w:type="dxa" w:w="1234"/>
          </w:tcPr>
          <w:p>
            <w:r>
              <w:t>btcCloseRatioPctChange</w:t>
            </w:r>
          </w:p>
        </w:tc>
        <w:tc>
          <w:tcPr>
            <w:tcW w:type="dxa" w:w="1234"/>
          </w:tcPr>
          <w:p>
            <w:r>
              <w:t>2.07</w:t>
            </w:r>
          </w:p>
        </w:tc>
        <w:tc>
          <w:tcPr>
            <w:tcW w:type="dxa" w:w="1234"/>
          </w:tcPr>
          <w:p>
            <w:r>
              <w:t>6.37</w:t>
            </w:r>
          </w:p>
        </w:tc>
        <w:tc>
          <w:tcPr>
            <w:tcW w:type="dxa" w:w="1234"/>
          </w:tcPr>
          <w:p>
            <w:r>
              <w:t>8.7</w:t>
            </w:r>
          </w:p>
        </w:tc>
        <w:tc>
          <w:tcPr>
            <w:tcW w:type="dxa" w:w="1234"/>
          </w:tcPr>
          <w:p>
            <w:r>
              <w:t>10.31</w:t>
            </w:r>
          </w:p>
        </w:tc>
        <w:tc>
          <w:tcPr>
            <w:tcW w:type="dxa" w:w="1234"/>
          </w:tcPr>
          <w:p>
            <w:r>
              <w:t>11.78</w:t>
            </w:r>
          </w:p>
        </w:tc>
        <w:tc>
          <w:tcPr>
            <w:tcW w:type="dxa" w:w="1234"/>
          </w:tcPr>
          <w:p>
            <w:r>
              <w:t>7.85</w:t>
            </w:r>
          </w:p>
        </w:tc>
      </w:tr>
      <w:tr>
        <w:tc>
          <w:tcPr>
            <w:tcW w:type="dxa" w:w="1234"/>
          </w:tcPr>
          <w:p>
            <w:r>
              <w:t>ethCloseRatioPctChange</w:t>
            </w:r>
          </w:p>
        </w:tc>
        <w:tc>
          <w:tcPr>
            <w:tcW w:type="dxa" w:w="1234"/>
          </w:tcPr>
          <w:p>
            <w:r>
              <w:t>1.6</w:t>
            </w:r>
          </w:p>
        </w:tc>
        <w:tc>
          <w:tcPr>
            <w:tcW w:type="dxa" w:w="1234"/>
          </w:tcPr>
          <w:p>
            <w:r>
              <w:t>5.06</w:t>
            </w:r>
          </w:p>
        </w:tc>
        <w:tc>
          <w:tcPr>
            <w:tcW w:type="dxa" w:w="1234"/>
          </w:tcPr>
          <w:p>
            <w:r>
              <w:t>7.67</w:t>
            </w:r>
          </w:p>
        </w:tc>
        <w:tc>
          <w:tcPr>
            <w:tcW w:type="dxa" w:w="1234"/>
          </w:tcPr>
          <w:p>
            <w:r>
              <w:t>11.11</w:t>
            </w:r>
          </w:p>
        </w:tc>
        <w:tc>
          <w:tcPr>
            <w:tcW w:type="dxa" w:w="1234"/>
          </w:tcPr>
          <w:p>
            <w:r>
              <w:t>14.85</w:t>
            </w:r>
          </w:p>
        </w:tc>
        <w:tc>
          <w:tcPr>
            <w:tcW w:type="dxa" w:w="1234"/>
          </w:tcPr>
          <w:p>
            <w:r>
              <w:t>8.06</w:t>
            </w:r>
          </w:p>
        </w:tc>
      </w:tr>
      <w:tr>
        <w:tc>
          <w:tcPr>
            <w:tcW w:type="dxa" w:w="1234"/>
          </w:tcPr>
          <w:p>
            <w:r>
              <w:t>btcVolumeRatioPctChange</w:t>
            </w:r>
          </w:p>
        </w:tc>
        <w:tc>
          <w:tcPr>
            <w:tcW w:type="dxa" w:w="1234"/>
          </w:tcPr>
          <w:p>
            <w:r>
              <w:t>-0.66</w:t>
            </w:r>
          </w:p>
        </w:tc>
        <w:tc>
          <w:tcPr>
            <w:tcW w:type="dxa" w:w="1234"/>
          </w:tcPr>
          <w:p>
            <w:r>
              <w:t>16.49</w:t>
            </w:r>
          </w:p>
        </w:tc>
        <w:tc>
          <w:tcPr>
            <w:tcW w:type="dxa" w:w="1234"/>
          </w:tcPr>
          <w:p>
            <w:r>
              <w:t>43.62</w:t>
            </w:r>
          </w:p>
        </w:tc>
        <w:tc>
          <w:tcPr>
            <w:tcW w:type="dxa" w:w="1234"/>
          </w:tcPr>
          <w:p>
            <w:r>
              <w:t>74.37</w:t>
            </w:r>
          </w:p>
        </w:tc>
        <w:tc>
          <w:tcPr>
            <w:tcW w:type="dxa" w:w="1234"/>
          </w:tcPr>
          <w:p>
            <w:r>
              <w:t>92.79</w:t>
            </w:r>
          </w:p>
        </w:tc>
        <w:tc>
          <w:tcPr>
            <w:tcW w:type="dxa" w:w="1234"/>
          </w:tcPr>
          <w:p>
            <w:r>
              <w:t>45.32</w:t>
            </w:r>
          </w:p>
        </w:tc>
      </w:tr>
      <w:tr>
        <w:tc>
          <w:tcPr>
            <w:tcW w:type="dxa" w:w="1234"/>
          </w:tcPr>
          <w:p>
            <w:r>
              <w:t>ethVolumeRatioPctChange</w:t>
            </w:r>
          </w:p>
        </w:tc>
        <w:tc>
          <w:tcPr>
            <w:tcW w:type="dxa" w:w="1234"/>
          </w:tcPr>
          <w:p>
            <w:r>
              <w:t>-2.01</w:t>
            </w:r>
          </w:p>
        </w:tc>
        <w:tc>
          <w:tcPr>
            <w:tcW w:type="dxa" w:w="1234"/>
          </w:tcPr>
          <w:p>
            <w:r>
              <w:t>24.52</w:t>
            </w:r>
          </w:p>
        </w:tc>
        <w:tc>
          <w:tcPr>
            <w:tcW w:type="dxa" w:w="1234"/>
          </w:tcPr>
          <w:p>
            <w:r>
              <w:t>60.23</w:t>
            </w:r>
          </w:p>
        </w:tc>
        <w:tc>
          <w:tcPr>
            <w:tcW w:type="dxa" w:w="1234"/>
          </w:tcPr>
          <w:p>
            <w:r>
              <w:t>107.55</w:t>
            </w:r>
          </w:p>
        </w:tc>
        <w:tc>
          <w:tcPr>
            <w:tcW w:type="dxa" w:w="1234"/>
          </w:tcPr>
          <w:p>
            <w:r>
              <w:t>135.7</w:t>
            </w:r>
          </w:p>
        </w:tc>
        <w:tc>
          <w:tcPr>
            <w:tcW w:type="dxa" w:w="1234"/>
          </w:tcPr>
          <w:p>
            <w:r>
              <w:t>65.2</w:t>
            </w:r>
          </w:p>
        </w:tc>
      </w:tr>
      <w:tr>
        <w:tc>
          <w:tcPr>
            <w:tcW w:type="dxa" w:w="1234"/>
          </w:tcPr>
          <w:p>
            <w:r>
              <w:t>btcOpenInterestRatioPctChange</w:t>
            </w:r>
          </w:p>
        </w:tc>
        <w:tc>
          <w:tcPr>
            <w:tcW w:type="dxa" w:w="1234"/>
          </w:tcPr>
          <w:p>
            <w:r>
              <w:t>-1.28</w:t>
            </w:r>
          </w:p>
        </w:tc>
        <w:tc>
          <w:tcPr>
            <w:tcW w:type="dxa" w:w="1234"/>
          </w:tcPr>
          <w:p>
            <w:r>
              <w:t>-2.91</w:t>
            </w:r>
          </w:p>
        </w:tc>
        <w:tc>
          <w:tcPr>
            <w:tcW w:type="dxa" w:w="1234"/>
          </w:tcPr>
          <w:p>
            <w:r>
              <w:t>-1.19</w:t>
            </w:r>
          </w:p>
        </w:tc>
        <w:tc>
          <w:tcPr>
            <w:tcW w:type="dxa" w:w="1234"/>
          </w:tcPr>
          <w:p>
            <w:r>
              <w:t>-0.9</w:t>
            </w:r>
          </w:p>
        </w:tc>
        <w:tc>
          <w:tcPr>
            <w:tcW w:type="dxa" w:w="1234"/>
          </w:tcPr>
          <w:p>
            <w:r>
              <w:t>-1.42</w:t>
            </w:r>
          </w:p>
        </w:tc>
        <w:tc>
          <w:tcPr>
            <w:tcW w:type="dxa" w:w="1234"/>
          </w:tcPr>
          <w:p>
            <w:r>
              <w:t>-1.54</w:t>
            </w:r>
          </w:p>
        </w:tc>
      </w:tr>
      <w:tr>
        <w:tc>
          <w:tcPr>
            <w:tcW w:type="dxa" w:w="1234"/>
          </w:tcPr>
          <w:p>
            <w:r>
              <w:t>ethOpenInterestRatioPctChange</w:t>
            </w:r>
          </w:p>
        </w:tc>
        <w:tc>
          <w:tcPr>
            <w:tcW w:type="dxa" w:w="1234"/>
          </w:tcPr>
          <w:p>
            <w:r>
              <w:t>-2.65</w:t>
            </w:r>
          </w:p>
        </w:tc>
        <w:tc>
          <w:tcPr>
            <w:tcW w:type="dxa" w:w="1234"/>
          </w:tcPr>
          <w:p>
            <w:r>
              <w:t>-6.42</w:t>
            </w:r>
          </w:p>
        </w:tc>
        <w:tc>
          <w:tcPr>
            <w:tcW w:type="dxa" w:w="1234"/>
          </w:tcPr>
          <w:p>
            <w:r>
              <w:t>-5.58</w:t>
            </w:r>
          </w:p>
        </w:tc>
        <w:tc>
          <w:tcPr>
            <w:tcW w:type="dxa" w:w="1234"/>
          </w:tcPr>
          <w:p>
            <w:r>
              <w:t>-0.98</w:t>
            </w:r>
          </w:p>
        </w:tc>
        <w:tc>
          <w:tcPr>
            <w:tcW w:type="dxa" w:w="1234"/>
          </w:tcPr>
          <w:p>
            <w:r>
              <w:t>5.05</w:t>
            </w:r>
          </w:p>
        </w:tc>
        <w:tc>
          <w:tcPr>
            <w:tcW w:type="dxa" w:w="1234"/>
          </w:tcPr>
          <w:p>
            <w:r>
              <w:t>-2.12</w:t>
            </w:r>
          </w:p>
        </w:tc>
      </w:tr>
    </w:tbl>
    <w:p/>
    <w:p>
      <w:r>
        <w:rPr>
          <w:b/>
        </w:rPr>
        <w:t>5. 市场宽度指标_整体市场环境</w:t>
      </w:r>
    </w:p>
    <w:p>
      <w:pPr>
        <w:pStyle w:val="ListBullet"/>
      </w:pPr>
      <w:r>
        <w:t>本周宽度指标显示整个市场开始回暖。</w:t>
      </w:r>
    </w:p>
    <w:p>
      <w:r>
        <w:t>宽度指标帮助交易员和投资者衡量市场的整体观点。</w:t>
      </w:r>
    </w:p>
    <w:p>
      <w:r>
        <w:drawing>
          <wp:inline xmlns:a="http://schemas.openxmlformats.org/drawingml/2006/main" xmlns:pic="http://schemas.openxmlformats.org/drawingml/2006/picture">
            <wp:extent cx="5669280" cy="6400800"/>
            <wp:docPr id="8" name="Picture 8"/>
            <wp:cNvGraphicFramePr>
              <a:graphicFrameLocks noChangeAspect="1"/>
            </wp:cNvGraphicFramePr>
            <a:graphic>
              <a:graphicData uri="http://schemas.openxmlformats.org/drawingml/2006/picture">
                <pic:pic>
                  <pic:nvPicPr>
                    <pic:cNvPr id="0" name="best5Breadth.png"/>
                    <pic:cNvPicPr/>
                  </pic:nvPicPr>
                  <pic:blipFill>
                    <a:blip r:embed="rId15"/>
                    <a:stretch>
                      <a:fillRect/>
                    </a:stretch>
                  </pic:blipFill>
                  <pic:spPr>
                    <a:xfrm>
                      <a:off x="0" y="0"/>
                      <a:ext cx="5669280" cy="6400800"/>
                    </a:xfrm>
                    <a:prstGeom prst="rect"/>
                  </pic:spPr>
                </pic:pic>
              </a:graphicData>
            </a:graphic>
          </wp:inline>
        </w:drawing>
      </w:r>
    </w:p>
    <w:p>
      <w:r>
        <w:t>宽度指标主要用于两个目的:第一分析市场情绪，这些指标可以帮助我们确定市场当前的趋势是否会逆转。第二分析市场趋势强度，宽度指标也可以帮助我们确定看涨或看跌趋势的强度。。</w:t>
      </w:r>
    </w:p>
    <w:p>
      <w:r>
        <w:t>上方图按顺序是：</w:t>
      </w:r>
    </w:p>
    <w:p>
      <w:r>
        <w:t>1. BTC本身的价格位置变化，反映BTC的价格位置。</w:t>
      </w:r>
    </w:p>
    <w:p>
      <w:r>
        <w:t>2. 均线上方的数量比例 (Ma Trend)，反映整体市场趋势方向。</w:t>
      </w:r>
    </w:p>
    <w:p>
      <w:r>
        <w:t>3. price/btcPrice 的动量(Relative Strength），反映整体市场的强弱。</w:t>
      </w:r>
    </w:p>
    <w:p>
      <w:r>
        <w:t>4. 价格在上方或下方的比例差(Periodic High and Low)，反映整体价格位置。</w:t>
      </w:r>
    </w:p>
    <w:p>
      <w:r>
        <w:t>5. 上涨数量的比例(Advance Pct)，反映整体市场参与度。</w:t>
      </w:r>
    </w:p>
    <w:p>
      <w:r>
        <w:t>5. 创新高和新低的比例差(Net New High and Net New Lows)，反映整体市场热度。</w:t>
      </w:r>
    </w:p>
    <w:p>
      <w:r>
        <w:t>表格显示五大最佳的宽度指标在不同天数的变化率。</w:t>
      </w:r>
    </w:p>
    <w:tbl>
      <w:tblPr>
        <w:tblStyle w:val="LightGrid-Accent1"/>
        <w:tblW w:type="auto" w:w="0"/>
        <w:tblLook w:firstColumn="1" w:firstRow="1" w:lastColumn="0" w:lastRow="0" w:noHBand="0" w:noVBand="1" w:val="04A0"/>
      </w:tblPr>
      <w:tblGrid>
        <w:gridCol w:w="1234"/>
        <w:gridCol w:w="1234"/>
        <w:gridCol w:w="1234"/>
        <w:gridCol w:w="1234"/>
        <w:gridCol w:w="1234"/>
        <w:gridCol w:w="1234"/>
        <w:gridCol w:w="1234"/>
      </w:tblGrid>
      <w:tr>
        <w:tc>
          <w:tcPr>
            <w:tcW w:type="dxa" w:w="5760"/>
          </w:tcPr>
          <w:p>
            <w:r>
              <w:t>periodDiffChange</w:t>
            </w:r>
          </w:p>
        </w:tc>
        <w:tc>
          <w:tcPr>
            <w:tcW w:type="dxa" w:w="1440"/>
          </w:tcPr>
          <w:p>
            <w:r>
              <w:t>1Day</w:t>
            </w:r>
          </w:p>
        </w:tc>
        <w:tc>
          <w:tcPr>
            <w:tcW w:type="dxa" w:w="1440"/>
          </w:tcPr>
          <w:p>
            <w:r>
              <w:t>3Day</w:t>
            </w:r>
          </w:p>
        </w:tc>
        <w:tc>
          <w:tcPr>
            <w:tcW w:type="dxa" w:w="1440"/>
          </w:tcPr>
          <w:p>
            <w:r>
              <w:t>5Day</w:t>
            </w:r>
          </w:p>
        </w:tc>
        <w:tc>
          <w:tcPr>
            <w:tcW w:type="dxa" w:w="1440"/>
          </w:tcPr>
          <w:p>
            <w:r>
              <w:t>8Day</w:t>
            </w:r>
          </w:p>
        </w:tc>
        <w:tc>
          <w:tcPr>
            <w:tcW w:type="dxa" w:w="1440"/>
          </w:tcPr>
          <w:p>
            <w:r>
              <w:t>13Day</w:t>
            </w:r>
          </w:p>
        </w:tc>
        <w:tc>
          <w:tcPr>
            <w:tcW w:type="dxa" w:w="1440"/>
          </w:tcPr>
          <w:p>
            <w:r>
              <w:t>avg</w:t>
            </w:r>
          </w:p>
        </w:tc>
      </w:tr>
      <w:tr>
        <w:tc>
          <w:tcPr>
            <w:tcW w:type="dxa" w:w="1234"/>
          </w:tcPr>
          <w:p>
            <w:r>
              <w:t>btcStochasticWeeklyDiff</w:t>
            </w:r>
          </w:p>
        </w:tc>
        <w:tc>
          <w:tcPr>
            <w:tcW w:type="dxa" w:w="1234"/>
          </w:tcPr>
          <w:p>
            <w:r>
              <w:t>0.42</w:t>
            </w:r>
          </w:p>
        </w:tc>
        <w:tc>
          <w:tcPr>
            <w:tcW w:type="dxa" w:w="1234"/>
          </w:tcPr>
          <w:p>
            <w:r>
              <w:t>0.14</w:t>
            </w:r>
          </w:p>
        </w:tc>
        <w:tc>
          <w:tcPr>
            <w:tcW w:type="dxa" w:w="1234"/>
          </w:tcPr>
          <w:p>
            <w:r>
              <w:t>0.1</w:t>
            </w:r>
          </w:p>
        </w:tc>
        <w:tc>
          <w:tcPr>
            <w:tcW w:type="dxa" w:w="1234"/>
          </w:tcPr>
          <w:p>
            <w:r>
              <w:t>0.07</w:t>
            </w:r>
          </w:p>
        </w:tc>
        <w:tc>
          <w:tcPr>
            <w:tcW w:type="dxa" w:w="1234"/>
          </w:tcPr>
          <w:p>
            <w:r>
              <w:t>0.08</w:t>
            </w:r>
          </w:p>
        </w:tc>
        <w:tc>
          <w:tcPr>
            <w:tcW w:type="dxa" w:w="1234"/>
          </w:tcPr>
          <w:p>
            <w:r>
              <w:t>0.16</w:t>
            </w:r>
          </w:p>
        </w:tc>
      </w:tr>
      <w:tr>
        <w:tc>
          <w:tcPr>
            <w:tcW w:type="dxa" w:w="1234"/>
          </w:tcPr>
          <w:p>
            <w:r>
              <w:t>maUpWeeklyDiff</w:t>
            </w:r>
          </w:p>
        </w:tc>
        <w:tc>
          <w:tcPr>
            <w:tcW w:type="dxa" w:w="1234"/>
          </w:tcPr>
          <w:p>
            <w:r>
              <w:t>0.2</w:t>
            </w:r>
          </w:p>
        </w:tc>
        <w:tc>
          <w:tcPr>
            <w:tcW w:type="dxa" w:w="1234"/>
          </w:tcPr>
          <w:p>
            <w:r>
              <w:t>0.2</w:t>
            </w:r>
          </w:p>
        </w:tc>
        <w:tc>
          <w:tcPr>
            <w:tcW w:type="dxa" w:w="1234"/>
          </w:tcPr>
          <w:p>
            <w:r>
              <w:t>0.0</w:t>
            </w:r>
          </w:p>
        </w:tc>
        <w:tc>
          <w:tcPr>
            <w:tcW w:type="dxa" w:w="1234"/>
          </w:tcPr>
          <w:p>
            <w:r>
              <w:t>0.0</w:t>
            </w:r>
          </w:p>
        </w:tc>
        <w:tc>
          <w:tcPr>
            <w:tcW w:type="dxa" w:w="1234"/>
          </w:tcPr>
          <w:p>
            <w:r>
              <w:t>0.2</w:t>
            </w:r>
          </w:p>
        </w:tc>
        <w:tc>
          <w:tcPr>
            <w:tcW w:type="dxa" w:w="1234"/>
          </w:tcPr>
          <w:p>
            <w:r>
              <w:t>0.12</w:t>
            </w:r>
          </w:p>
        </w:tc>
      </w:tr>
      <w:tr>
        <w:tc>
          <w:tcPr>
            <w:tcW w:type="dxa" w:w="1234"/>
          </w:tcPr>
          <w:p>
            <w:r>
              <w:t>rsUpWeeklyDiff</w:t>
            </w:r>
          </w:p>
        </w:tc>
        <w:tc>
          <w:tcPr>
            <w:tcW w:type="dxa" w:w="1234"/>
          </w:tcPr>
          <w:p>
            <w:r>
              <w:t>0.2</w:t>
            </w:r>
          </w:p>
        </w:tc>
        <w:tc>
          <w:tcPr>
            <w:tcW w:type="dxa" w:w="1234"/>
          </w:tcPr>
          <w:p>
            <w:r>
              <w:t>-0.4</w:t>
            </w:r>
          </w:p>
        </w:tc>
        <w:tc>
          <w:tcPr>
            <w:tcW w:type="dxa" w:w="1234"/>
          </w:tcPr>
          <w:p>
            <w:r>
              <w:t>-0.1</w:t>
            </w:r>
          </w:p>
        </w:tc>
        <w:tc>
          <w:tcPr>
            <w:tcW w:type="dxa" w:w="1234"/>
          </w:tcPr>
          <w:p>
            <w:r>
              <w:t>0.2</w:t>
            </w:r>
          </w:p>
        </w:tc>
        <w:tc>
          <w:tcPr>
            <w:tcW w:type="dxa" w:w="1234"/>
          </w:tcPr>
          <w:p>
            <w:r>
              <w:t>0.4</w:t>
            </w:r>
          </w:p>
        </w:tc>
        <w:tc>
          <w:tcPr>
            <w:tcW w:type="dxa" w:w="1234"/>
          </w:tcPr>
          <w:p>
            <w:r>
              <w:t>0.06</w:t>
            </w:r>
          </w:p>
        </w:tc>
      </w:tr>
      <w:tr>
        <w:tc>
          <w:tcPr>
            <w:tcW w:type="dxa" w:w="1234"/>
          </w:tcPr>
          <w:p>
            <w:r>
              <w:t>hlRangeWeeklyDiff</w:t>
            </w:r>
          </w:p>
        </w:tc>
        <w:tc>
          <w:tcPr>
            <w:tcW w:type="dxa" w:w="1234"/>
          </w:tcPr>
          <w:p>
            <w:r>
              <w:t>1.0</w:t>
            </w:r>
          </w:p>
        </w:tc>
        <w:tc>
          <w:tcPr>
            <w:tcW w:type="dxa" w:w="1234"/>
          </w:tcPr>
          <w:p>
            <w:r>
              <w:t>0.5</w:t>
            </w:r>
          </w:p>
        </w:tc>
        <w:tc>
          <w:tcPr>
            <w:tcW w:type="dxa" w:w="1234"/>
          </w:tcPr>
          <w:p>
            <w:r>
              <w:t>0.0</w:t>
            </w:r>
          </w:p>
        </w:tc>
        <w:tc>
          <w:tcPr>
            <w:tcW w:type="dxa" w:w="1234"/>
          </w:tcPr>
          <w:p>
            <w:r>
              <w:t>0.0</w:t>
            </w:r>
          </w:p>
        </w:tc>
        <w:tc>
          <w:tcPr>
            <w:tcW w:type="dxa" w:w="1234"/>
          </w:tcPr>
          <w:p>
            <w:r>
              <w:t>0.0</w:t>
            </w:r>
          </w:p>
        </w:tc>
        <w:tc>
          <w:tcPr>
            <w:tcW w:type="dxa" w:w="1234"/>
          </w:tcPr>
          <w:p>
            <w:r>
              <w:t>0.3</w:t>
            </w:r>
          </w:p>
        </w:tc>
      </w:tr>
      <w:tr>
        <w:tc>
          <w:tcPr>
            <w:tcW w:type="dxa" w:w="1234"/>
          </w:tcPr>
          <w:p>
            <w:r>
              <w:t>adWeeklyDiff</w:t>
            </w:r>
          </w:p>
        </w:tc>
        <w:tc>
          <w:tcPr>
            <w:tcW w:type="dxa" w:w="1234"/>
          </w:tcPr>
          <w:p>
            <w:r>
              <w:t>1.0</w:t>
            </w:r>
          </w:p>
        </w:tc>
        <w:tc>
          <w:tcPr>
            <w:tcW w:type="dxa" w:w="1234"/>
          </w:tcPr>
          <w:p>
            <w:r>
              <w:t>-0.1</w:t>
            </w:r>
          </w:p>
        </w:tc>
        <w:tc>
          <w:tcPr>
            <w:tcW w:type="dxa" w:w="1234"/>
          </w:tcPr>
          <w:p>
            <w:r>
              <w:t>0.0</w:t>
            </w:r>
          </w:p>
        </w:tc>
        <w:tc>
          <w:tcPr>
            <w:tcW w:type="dxa" w:w="1234"/>
          </w:tcPr>
          <w:p>
            <w:r>
              <w:t>0.1</w:t>
            </w:r>
          </w:p>
        </w:tc>
        <w:tc>
          <w:tcPr>
            <w:tcW w:type="dxa" w:w="1234"/>
          </w:tcPr>
          <w:p>
            <w:r>
              <w:t>0.4</w:t>
            </w:r>
          </w:p>
        </w:tc>
        <w:tc>
          <w:tcPr>
            <w:tcW w:type="dxa" w:w="1234"/>
          </w:tcPr>
          <w:p>
            <w:r>
              <w:t>0.28</w:t>
            </w:r>
          </w:p>
        </w:tc>
      </w:tr>
      <w:tr>
        <w:tc>
          <w:tcPr>
            <w:tcW w:type="dxa" w:w="1234"/>
          </w:tcPr>
          <w:p>
            <w:r>
              <w:t>hlNewWeeklyDiff</w:t>
            </w:r>
          </w:p>
        </w:tc>
        <w:tc>
          <w:tcPr>
            <w:tcW w:type="dxa" w:w="1234"/>
          </w:tcPr>
          <w:p>
            <w:r>
              <w:t>1.0</w:t>
            </w:r>
          </w:p>
        </w:tc>
        <w:tc>
          <w:tcPr>
            <w:tcW w:type="dxa" w:w="1234"/>
          </w:tcPr>
          <w:p>
            <w:r>
              <w:t>1.0</w:t>
            </w:r>
          </w:p>
        </w:tc>
        <w:tc>
          <w:tcPr>
            <w:tcW w:type="dxa" w:w="1234"/>
          </w:tcPr>
          <w:p>
            <w:r>
              <w:t>1.0</w:t>
            </w:r>
          </w:p>
        </w:tc>
        <w:tc>
          <w:tcPr>
            <w:tcW w:type="dxa" w:w="1234"/>
          </w:tcPr>
          <w:p>
            <w:r>
              <w:t>1.0</w:t>
            </w:r>
          </w:p>
        </w:tc>
        <w:tc>
          <w:tcPr>
            <w:tcW w:type="dxa" w:w="1234"/>
          </w:tcPr>
          <w:p>
            <w:r>
              <w:t>1.0</w:t>
            </w:r>
          </w:p>
        </w:tc>
        <w:tc>
          <w:tcPr>
            <w:tcW w:type="dxa" w:w="1234"/>
          </w:tcPr>
          <w:p>
            <w:r>
              <w:t>1.0</w:t>
            </w:r>
          </w:p>
        </w:tc>
      </w:tr>
    </w:tbl>
    <w:p/>
    <w:p>
      <w:r>
        <w:rPr>
          <w:b/>
        </w:rPr>
        <w:t>6. 相对轮动图_板块热点</w:t>
      </w:r>
    </w:p>
    <w:p>
      <w:pPr>
        <w:pStyle w:val="ListBullet"/>
      </w:pPr>
      <w:r>
        <w:t>本周1月12号多个币都相对BTC要强，进入了领先区间，其中Gala表现最强势。</w:t>
      </w:r>
    </w:p>
    <w:p>
      <w:r>
        <w:t>分析师可以使用相对轮动图来分析几种币相对于BTC基准的相对强度趋势。</w:t>
      </w:r>
    </w:p>
    <w:p>
      <w:r>
        <w:t>指标由一周的RS与过去一个月的RS做标准化。</w:t>
      </w:r>
    </w:p>
    <w:p>
      <w:r>
        <w:drawing>
          <wp:inline xmlns:a="http://schemas.openxmlformats.org/drawingml/2006/main" xmlns:pic="http://schemas.openxmlformats.org/drawingml/2006/picture">
            <wp:extent cx="5669280" cy="5669280"/>
            <wp:docPr id="9" name="Picture 9"/>
            <wp:cNvGraphicFramePr>
              <a:graphicFrameLocks noChangeAspect="1"/>
            </wp:cNvGraphicFramePr>
            <a:graphic>
              <a:graphicData uri="http://schemas.openxmlformats.org/drawingml/2006/picture">
                <pic:pic>
                  <pic:nvPicPr>
                    <pic:cNvPr id="0" name="mainCoin.png"/>
                    <pic:cNvPicPr/>
                  </pic:nvPicPr>
                  <pic:blipFill>
                    <a:blip r:embed="rId16"/>
                    <a:stretch>
                      <a:fillRect/>
                    </a:stretch>
                  </pic:blipFill>
                  <pic:spPr>
                    <a:xfrm>
                      <a:off x="0" y="0"/>
                      <a:ext cx="5669280" cy="5669280"/>
                    </a:xfrm>
                    <a:prstGeom prst="rect"/>
                  </pic:spPr>
                </pic:pic>
              </a:graphicData>
            </a:graphic>
          </wp:inline>
        </w:drawing>
      </w:r>
    </w:p>
    <w:p>
      <w:r>
        <w:t>上图为主流币过去一周的相对轮动情况。</w:t>
      </w:r>
    </w:p>
    <w:p>
      <w:r>
        <w:t>领先象限的符号应该在你的做多清单上，因为它们显示了相对的强度。在减弱象限的符号应该在您的做空观察列表中。滞后象限中的符号应该在做多列表中，因为它们显示了相对的弱点。改善象限中的符号应该作为潜在的品种出现在你的做多清单上。</w:t>
      </w:r>
    </w:p>
    <w:p>
      <w:r>
        <w:drawing>
          <wp:inline xmlns:a="http://schemas.openxmlformats.org/drawingml/2006/main" xmlns:pic="http://schemas.openxmlformats.org/drawingml/2006/picture">
            <wp:extent cx="5669280" cy="5669280"/>
            <wp:docPr id="10" name="Picture 10"/>
            <wp:cNvGraphicFramePr>
              <a:graphicFrameLocks noChangeAspect="1"/>
            </wp:cNvGraphicFramePr>
            <a:graphic>
              <a:graphicData uri="http://schemas.openxmlformats.org/drawingml/2006/picture">
                <pic:pic>
                  <pic:nvPicPr>
                    <pic:cNvPr id="0" name="gameCoin.png"/>
                    <pic:cNvPicPr/>
                  </pic:nvPicPr>
                  <pic:blipFill>
                    <a:blip r:embed="rId17"/>
                    <a:stretch>
                      <a:fillRect/>
                    </a:stretch>
                  </pic:blipFill>
                  <pic:spPr>
                    <a:xfrm>
                      <a:off x="0" y="0"/>
                      <a:ext cx="5669280" cy="5669280"/>
                    </a:xfrm>
                    <a:prstGeom prst="rect"/>
                  </pic:spPr>
                </pic:pic>
              </a:graphicData>
            </a:graphic>
          </wp:inline>
        </w:drawing>
      </w:r>
    </w:p>
    <w:p>
      <w:r>
        <w:t>上图为游戏币过去一周的相对轮动情况。</w:t>
      </w:r>
    </w:p>
    <w:p>
      <w:r>
        <w:t>表格显示目前可以放入做多清单的品种。</w:t>
      </w:r>
    </w:p>
    <w:tbl>
      <w:tblPr>
        <w:tblStyle w:val="LightGrid-Accent1"/>
        <w:tblW w:type="auto" w:w="0"/>
        <w:tblLook w:firstColumn="1" w:firstRow="1" w:lastColumn="0" w:lastRow="0" w:noHBand="0" w:noVBand="1" w:val="04A0"/>
      </w:tblPr>
      <w:tblGrid>
        <w:gridCol w:w="2880"/>
        <w:gridCol w:w="2880"/>
        <w:gridCol w:w="2880"/>
      </w:tblGrid>
      <w:tr>
        <w:tc>
          <w:tcPr>
            <w:tcW w:type="dxa" w:w="5760"/>
          </w:tcPr>
          <w:p>
            <w:r>
              <w:t>Game Coin</w:t>
            </w:r>
          </w:p>
        </w:tc>
        <w:tc>
          <w:tcPr>
            <w:tcW w:type="dxa" w:w="1440"/>
          </w:tcPr>
          <w:p>
            <w:r>
              <w:t>Leading_Area</w:t>
            </w:r>
          </w:p>
        </w:tc>
        <w:tc>
          <w:tcPr>
            <w:tcW w:type="dxa" w:w="1440"/>
          </w:tcPr>
          <w:p>
            <w:r>
              <w:t>Improving_Area</w:t>
            </w:r>
          </w:p>
        </w:tc>
      </w:tr>
      <w:tr>
        <w:tc>
          <w:tcPr>
            <w:tcW w:type="dxa" w:w="2880"/>
          </w:tcPr>
          <w:p>
            <w:r>
              <w:t>btc</w:t>
            </w:r>
          </w:p>
        </w:tc>
        <w:tc>
          <w:tcPr>
            <w:tcW w:type="dxa" w:w="2880"/>
          </w:tcPr>
          <w:p>
            <w:r>
              <w:t>2023-01-12</w:t>
            </w:r>
          </w:p>
        </w:tc>
        <w:tc>
          <w:tcPr>
            <w:tcW w:type="dxa" w:w="2880"/>
          </w:tcPr>
          <w:p>
            <w:r>
              <w:t>nan</w:t>
            </w:r>
          </w:p>
        </w:tc>
      </w:tr>
      <w:tr>
        <w:tc>
          <w:tcPr>
            <w:tcW w:type="dxa" w:w="2880"/>
          </w:tcPr>
          <w:p>
            <w:r>
              <w:t>bch</w:t>
            </w:r>
          </w:p>
        </w:tc>
        <w:tc>
          <w:tcPr>
            <w:tcW w:type="dxa" w:w="2880"/>
          </w:tcPr>
          <w:p>
            <w:r>
              <w:t>2023-01-12</w:t>
            </w:r>
          </w:p>
        </w:tc>
        <w:tc>
          <w:tcPr>
            <w:tcW w:type="dxa" w:w="2880"/>
          </w:tcPr>
          <w:p>
            <w:r>
              <w:t>nan</w:t>
            </w:r>
          </w:p>
        </w:tc>
      </w:tr>
      <w:tr>
        <w:tc>
          <w:tcPr>
            <w:tcW w:type="dxa" w:w="2880"/>
          </w:tcPr>
          <w:p>
            <w:r>
              <w:t>matic</w:t>
            </w:r>
          </w:p>
        </w:tc>
        <w:tc>
          <w:tcPr>
            <w:tcW w:type="dxa" w:w="2880"/>
          </w:tcPr>
          <w:p>
            <w:r>
              <w:t>2023-01-12</w:t>
            </w:r>
          </w:p>
        </w:tc>
        <w:tc>
          <w:tcPr>
            <w:tcW w:type="dxa" w:w="2880"/>
          </w:tcPr>
          <w:p>
            <w:r>
              <w:t>nan</w:t>
            </w:r>
          </w:p>
        </w:tc>
      </w:tr>
      <w:tr>
        <w:tc>
          <w:tcPr>
            <w:tcW w:type="dxa" w:w="2880"/>
          </w:tcPr>
          <w:p>
            <w:r>
              <w:t>sol</w:t>
            </w:r>
          </w:p>
        </w:tc>
        <w:tc>
          <w:tcPr>
            <w:tcW w:type="dxa" w:w="2880"/>
          </w:tcPr>
          <w:p>
            <w:r>
              <w:t>2023-01-12</w:t>
            </w:r>
          </w:p>
        </w:tc>
        <w:tc>
          <w:tcPr>
            <w:tcW w:type="dxa" w:w="2880"/>
          </w:tcPr>
          <w:p>
            <w:r>
              <w:t>nan</w:t>
            </w:r>
          </w:p>
        </w:tc>
      </w:tr>
      <w:tr>
        <w:tc>
          <w:tcPr>
            <w:tcW w:type="dxa" w:w="2880"/>
          </w:tcPr>
          <w:p>
            <w:r>
              <w:t>uni</w:t>
            </w:r>
          </w:p>
        </w:tc>
        <w:tc>
          <w:tcPr>
            <w:tcW w:type="dxa" w:w="2880"/>
          </w:tcPr>
          <w:p>
            <w:r>
              <w:t>2023-01-12</w:t>
            </w:r>
          </w:p>
        </w:tc>
        <w:tc>
          <w:tcPr>
            <w:tcW w:type="dxa" w:w="2880"/>
          </w:tcPr>
          <w:p>
            <w:r>
              <w:t>nan</w:t>
            </w:r>
          </w:p>
        </w:tc>
      </w:tr>
      <w:tr>
        <w:tc>
          <w:tcPr>
            <w:tcW w:type="dxa" w:w="2880"/>
          </w:tcPr>
          <w:p>
            <w:r>
              <w:t>gala</w:t>
            </w:r>
          </w:p>
        </w:tc>
        <w:tc>
          <w:tcPr>
            <w:tcW w:type="dxa" w:w="2880"/>
          </w:tcPr>
          <w:p>
            <w:r>
              <w:t>2023-01-12</w:t>
            </w:r>
          </w:p>
        </w:tc>
        <w:tc>
          <w:tcPr>
            <w:tcW w:type="dxa" w:w="2880"/>
          </w:tcPr>
          <w:p>
            <w:r>
              <w:t>nan</w:t>
            </w:r>
          </w:p>
        </w:tc>
      </w:tr>
      <w:tr>
        <w:tc>
          <w:tcPr>
            <w:tcW w:type="dxa" w:w="2880"/>
          </w:tcPr>
          <w:p>
            <w:r>
              <w:t>sand</w:t>
            </w:r>
          </w:p>
        </w:tc>
        <w:tc>
          <w:tcPr>
            <w:tcW w:type="dxa" w:w="2880"/>
          </w:tcPr>
          <w:p>
            <w:r>
              <w:t>2023-01-12</w:t>
            </w:r>
          </w:p>
        </w:tc>
        <w:tc>
          <w:tcPr>
            <w:tcW w:type="dxa" w:w="2880"/>
          </w:tcPr>
          <w:p>
            <w:r>
              <w:t>nan</w:t>
            </w:r>
          </w:p>
        </w:tc>
      </w:tr>
      <w:tr>
        <w:tc>
          <w:tcPr>
            <w:tcW w:type="dxa" w:w="2880"/>
          </w:tcPr>
          <w:p>
            <w:r>
              <w:t>axs</w:t>
            </w:r>
          </w:p>
        </w:tc>
        <w:tc>
          <w:tcPr>
            <w:tcW w:type="dxa" w:w="2880"/>
          </w:tcPr>
          <w:p>
            <w:r>
              <w:t>2023-01-12</w:t>
            </w:r>
          </w:p>
        </w:tc>
        <w:tc>
          <w:tcPr>
            <w:tcW w:type="dxa" w:w="2880"/>
          </w:tcPr>
          <w:p>
            <w:r>
              <w:t>nan</w:t>
            </w:r>
          </w:p>
        </w:tc>
      </w:tr>
      <w:tr>
        <w:tc>
          <w:tcPr>
            <w:tcW w:type="dxa" w:w="2880"/>
          </w:tcPr>
          <w:p>
            <w:r>
              <w:t>doge</w:t>
            </w:r>
          </w:p>
        </w:tc>
        <w:tc>
          <w:tcPr>
            <w:tcW w:type="dxa" w:w="2880"/>
          </w:tcPr>
          <w:p>
            <w:r>
              <w:t>nan</w:t>
            </w:r>
          </w:p>
        </w:tc>
        <w:tc>
          <w:tcPr>
            <w:tcW w:type="dxa" w:w="2880"/>
          </w:tcPr>
          <w:p>
            <w:r>
              <w:t>2023-01-12</w:t>
            </w:r>
          </w:p>
        </w:tc>
      </w:tr>
      <w:tr>
        <w:tc>
          <w:tcPr>
            <w:tcW w:type="dxa" w:w="2880"/>
          </w:tcPr>
          <w:p>
            <w:r>
              <w:t>link</w:t>
            </w:r>
          </w:p>
        </w:tc>
        <w:tc>
          <w:tcPr>
            <w:tcW w:type="dxa" w:w="2880"/>
          </w:tcPr>
          <w:p>
            <w:r>
              <w:t>nan</w:t>
            </w:r>
          </w:p>
        </w:tc>
        <w:tc>
          <w:tcPr>
            <w:tcW w:type="dxa" w:w="2880"/>
          </w:tcPr>
          <w:p>
            <w:r>
              <w:t>2023-01-12</w:t>
            </w:r>
          </w:p>
        </w:tc>
      </w:tr>
    </w:tbl>
    <w:p/>
    <w:p>
      <w:r>
        <w:rPr>
          <w:b/>
        </w:rPr>
        <w:t>7. 相关性分析_市场的一致性</w:t>
      </w:r>
    </w:p>
    <w:p>
      <w:pPr>
        <w:pStyle w:val="ListBullet"/>
      </w:pPr>
      <w:r>
        <w:t>本周相关性开始升高，市场一致向上涨了一段。</w:t>
      </w:r>
    </w:p>
    <w:p>
      <w:r>
        <w:t>相关性显示了两个变量之间关系的强度，并通过相关系数数值表示。相关系数的取值范围在-1.0和1.0之间。</w:t>
      </w:r>
    </w:p>
    <w:p>
      <w:r>
        <w:drawing>
          <wp:inline xmlns:a="http://schemas.openxmlformats.org/drawingml/2006/main" xmlns:pic="http://schemas.openxmlformats.org/drawingml/2006/picture">
            <wp:extent cx="5669280" cy="5669280"/>
            <wp:docPr id="11" name="Picture 11"/>
            <wp:cNvGraphicFramePr>
              <a:graphicFrameLocks noChangeAspect="1"/>
            </wp:cNvGraphicFramePr>
            <a:graphic>
              <a:graphicData uri="http://schemas.openxmlformats.org/drawingml/2006/picture">
                <pic:pic>
                  <pic:nvPicPr>
                    <pic:cNvPr id="0" name="corr.png"/>
                    <pic:cNvPicPr/>
                  </pic:nvPicPr>
                  <pic:blipFill>
                    <a:blip r:embed="rId18"/>
                    <a:stretch>
                      <a:fillRect/>
                    </a:stretch>
                  </pic:blipFill>
                  <pic:spPr>
                    <a:xfrm>
                      <a:off x="0" y="0"/>
                      <a:ext cx="5669280" cy="5669280"/>
                    </a:xfrm>
                    <a:prstGeom prst="rect"/>
                  </pic:spPr>
                </pic:pic>
              </a:graphicData>
            </a:graphic>
          </wp:inline>
        </w:drawing>
      </w:r>
    </w:p>
    <w:p>
      <w:r>
        <w:t>上图为多个币种过去一周的相关性情况。</w:t>
      </w:r>
    </w:p>
    <w:p>
      <w:r>
        <w:t>当相关性高，各个币种无独立行情；当相关性低，行情不一致，统计套利策略在低相关的差异环境下表现较好。Absorption 指标代表所有币种的相关性，相关性高时市场行为较为一致，CTA策略一般在一致行情下表现较好。</w:t>
      </w:r>
    </w:p>
    <w:p>
      <w:r>
        <w:drawing>
          <wp:inline xmlns:a="http://schemas.openxmlformats.org/drawingml/2006/main" xmlns:pic="http://schemas.openxmlformats.org/drawingml/2006/picture">
            <wp:extent cx="5669280" cy="5669280"/>
            <wp:docPr id="12" name="Picture 12"/>
            <wp:cNvGraphicFramePr>
              <a:graphicFrameLocks noChangeAspect="1"/>
            </wp:cNvGraphicFramePr>
            <a:graphic>
              <a:graphicData uri="http://schemas.openxmlformats.org/drawingml/2006/picture">
                <pic:pic>
                  <pic:nvPicPr>
                    <pic:cNvPr id="0" name="arNorMaDiff.png"/>
                    <pic:cNvPicPr/>
                  </pic:nvPicPr>
                  <pic:blipFill>
                    <a:blip r:embed="rId19"/>
                    <a:stretch>
                      <a:fillRect/>
                    </a:stretch>
                  </pic:blipFill>
                  <pic:spPr>
                    <a:xfrm>
                      <a:off x="0" y="0"/>
                      <a:ext cx="5669280" cy="5669280"/>
                    </a:xfrm>
                    <a:prstGeom prst="rect"/>
                  </pic:spPr>
                </pic:pic>
              </a:graphicData>
            </a:graphic>
          </wp:inline>
        </w:drawing>
      </w:r>
    </w:p>
    <w:p>
      <w:r>
        <w:t>上图为一周的Absorption Ratio与过去两个月的Absorption Ratio做标准化的情况。</w:t>
      </w:r>
    </w:p>
    <w:p>
      <w:r>
        <w:t>表格显示Absorption Ratio不同时间长度的变化。</w:t>
      </w:r>
    </w:p>
    <w:tbl>
      <w:tblPr>
        <w:tblStyle w:val="LightGrid-Accent1"/>
        <w:tblW w:type="auto" w:w="0"/>
        <w:tblLook w:firstColumn="1" w:firstRow="1" w:lastColumn="0" w:lastRow="0" w:noHBand="0" w:noVBand="1" w:val="04A0"/>
      </w:tblPr>
      <w:tblGrid>
        <w:gridCol w:w="1234"/>
        <w:gridCol w:w="1234"/>
        <w:gridCol w:w="1234"/>
        <w:gridCol w:w="1234"/>
        <w:gridCol w:w="1234"/>
        <w:gridCol w:w="1234"/>
        <w:gridCol w:w="1234"/>
      </w:tblGrid>
      <w:tr>
        <w:tc>
          <w:tcPr>
            <w:tcW w:type="dxa" w:w="5760"/>
          </w:tcPr>
          <w:p>
            <w:r>
              <w:t>periodPctChange</w:t>
            </w:r>
          </w:p>
        </w:tc>
        <w:tc>
          <w:tcPr>
            <w:tcW w:type="dxa" w:w="1440"/>
          </w:tcPr>
          <w:p>
            <w:r>
              <w:t>1Day</w:t>
            </w:r>
          </w:p>
        </w:tc>
        <w:tc>
          <w:tcPr>
            <w:tcW w:type="dxa" w:w="1440"/>
          </w:tcPr>
          <w:p>
            <w:r>
              <w:t>3Day</w:t>
            </w:r>
          </w:p>
        </w:tc>
        <w:tc>
          <w:tcPr>
            <w:tcW w:type="dxa" w:w="1440"/>
          </w:tcPr>
          <w:p>
            <w:r>
              <w:t>5Day</w:t>
            </w:r>
          </w:p>
        </w:tc>
        <w:tc>
          <w:tcPr>
            <w:tcW w:type="dxa" w:w="1440"/>
          </w:tcPr>
          <w:p>
            <w:r>
              <w:t>8Day</w:t>
            </w:r>
          </w:p>
        </w:tc>
        <w:tc>
          <w:tcPr>
            <w:tcW w:type="dxa" w:w="1440"/>
          </w:tcPr>
          <w:p>
            <w:r>
              <w:t>13Day</w:t>
            </w:r>
          </w:p>
        </w:tc>
        <w:tc>
          <w:tcPr>
            <w:tcW w:type="dxa" w:w="1440"/>
          </w:tcPr>
          <w:p>
            <w:r>
              <w:t>avg</w:t>
            </w:r>
          </w:p>
        </w:tc>
      </w:tr>
      <w:tr>
        <w:tc>
          <w:tcPr>
            <w:tcW w:type="dxa" w:w="1234"/>
          </w:tcPr>
          <w:p>
            <w:r>
              <w:t>arNorPctChange</w:t>
            </w:r>
          </w:p>
        </w:tc>
        <w:tc>
          <w:tcPr>
            <w:tcW w:type="dxa" w:w="1234"/>
          </w:tcPr>
          <w:p>
            <w:r>
              <w:t>8.94</w:t>
            </w:r>
          </w:p>
        </w:tc>
        <w:tc>
          <w:tcPr>
            <w:tcW w:type="dxa" w:w="1234"/>
          </w:tcPr>
          <w:p>
            <w:r>
              <w:t>6.77</w:t>
            </w:r>
          </w:p>
        </w:tc>
        <w:tc>
          <w:tcPr>
            <w:tcW w:type="dxa" w:w="1234"/>
          </w:tcPr>
          <w:p>
            <w:r>
              <w:t>18.81</w:t>
            </w:r>
          </w:p>
        </w:tc>
        <w:tc>
          <w:tcPr>
            <w:tcW w:type="dxa" w:w="1234"/>
          </w:tcPr>
          <w:p>
            <w:r>
              <w:t>27.7</w:t>
            </w:r>
          </w:p>
        </w:tc>
        <w:tc>
          <w:tcPr>
            <w:tcW w:type="dxa" w:w="1234"/>
          </w:tcPr>
          <w:p>
            <w:r>
              <w:t>203.36</w:t>
            </w:r>
          </w:p>
        </w:tc>
        <w:tc>
          <w:tcPr>
            <w:tcW w:type="dxa" w:w="1234"/>
          </w:tcPr>
          <w:p>
            <w:r>
              <w:t>53.12</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