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i w:val="1"/>
          <w:sz w:val="48"/>
          <w:szCs w:val="48"/>
        </w:rPr>
      </w:pPr>
      <w:r w:rsidDel="00000000" w:rsidR="00000000" w:rsidRPr="00000000">
        <w:rPr>
          <w:rFonts w:ascii="Times New Roman" w:cs="Times New Roman" w:eastAsia="Times New Roman" w:hAnsi="Times New Roman"/>
          <w:b w:val="1"/>
          <w:i w:val="1"/>
          <w:sz w:val="48"/>
          <w:szCs w:val="48"/>
          <w:rtl w:val="0"/>
        </w:rPr>
        <w:t xml:space="preserve">Constitution of the</w:t>
      </w:r>
    </w:p>
    <w:p w:rsidR="00000000" w:rsidDel="00000000" w:rsidP="00000000" w:rsidRDefault="00000000" w:rsidRPr="00000000" w14:paraId="00000002">
      <w:pPr>
        <w:jc w:val="center"/>
        <w:rPr>
          <w:rFonts w:ascii="Times New Roman" w:cs="Times New Roman" w:eastAsia="Times New Roman" w:hAnsi="Times New Roman"/>
          <w:b w:val="1"/>
          <w:i w:val="1"/>
          <w:sz w:val="48"/>
          <w:szCs w:val="48"/>
          <w:u w:val="single"/>
        </w:rPr>
      </w:pPr>
      <w:r w:rsidDel="00000000" w:rsidR="00000000" w:rsidRPr="00000000">
        <w:rPr>
          <w:rFonts w:ascii="Times New Roman" w:cs="Times New Roman" w:eastAsia="Times New Roman" w:hAnsi="Times New Roman"/>
          <w:b w:val="1"/>
          <w:i w:val="1"/>
          <w:sz w:val="48"/>
          <w:szCs w:val="48"/>
          <w:rtl w:val="0"/>
        </w:rPr>
        <w:t xml:space="preserve">Latino Firearms Association </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PREAMBLE</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Ingrained within the inception of this union is our conviction to strive for egalitarianism. Our ethos emanates from the desire to bring about the blessings secured by our forefathers and thus pass down these blessings to our posterity. We declare this Constitution to be our axiom, and all who adhere to it are members of the Latino Firearms Association.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I:</w:t>
        <w:tab/>
        <w:t xml:space="preserve">NAME </w:t>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Official Name of this organization shall be the Latino Firearms Association, also referred to as the </w:t>
      </w:r>
      <w:r w:rsidDel="00000000" w:rsidR="00000000" w:rsidRPr="00000000">
        <w:rPr>
          <w:rFonts w:ascii="Times New Roman" w:cs="Times New Roman" w:eastAsia="Times New Roman" w:hAnsi="Times New Roman"/>
          <w:b w:val="1"/>
          <w:sz w:val="24"/>
          <w:szCs w:val="24"/>
          <w:rtl w:val="0"/>
        </w:rPr>
        <w:t xml:space="preserve">LFA. </w:t>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II:</w:t>
        <w:tab/>
        <w:t xml:space="preserve">PURPOSE</w:t>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Calibri" w:cs="Calibri" w:eastAsia="Calibri" w:hAnsi="Calibri"/>
          <w:sz w:val="24"/>
          <w:szCs w:val="24"/>
          <w:rtl w:val="0"/>
        </w:rPr>
        <w:t xml:space="preserve">The Latino Firearms Association shall conduct itself as to uphold its purposes as are hereby stated </w:t>
      </w:r>
    </w:p>
    <w:p w:rsidR="00000000" w:rsidDel="00000000" w:rsidP="00000000" w:rsidRDefault="00000000" w:rsidRPr="00000000" w14:paraId="0000000D">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0E">
      <w:pPr>
        <w:numPr>
          <w:ilvl w:val="0"/>
          <w:numId w:val="1"/>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0F">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III: MEMBERSHIP </w:t>
      </w:r>
    </w:p>
    <w:p w:rsidR="00000000" w:rsidDel="00000000" w:rsidP="00000000" w:rsidRDefault="00000000" w:rsidRPr="00000000" w14:paraId="00000010">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IV: NATIONAL GOVERNANCE </w:t>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V: STATE GOVERNANCE </w:t>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VI: LOCAL GOVERNANCE </w:t>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t xml:space="preserve">ARTICLE VII: BUSINESS MODEL </w:t>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VIII: AFFILIATION</w:t>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IX: EXPANSION </w:t>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X: FINANCE </w:t>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ARTICLE XI: PROPERTY </w:t>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sectPr>
      <w:headerReference r:id="rId6"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rPr/>
    </w:pPr>
    <w:r w:rsidDel="00000000" w:rsidR="00000000" w:rsidRPr="00000000">
      <w:rPr/>
      <w:drawing>
        <wp:anchor allowOverlap="1" behindDoc="0" distB="114300" distT="114300" distL="114300" distR="114300" hidden="0" layoutInCell="1" locked="0" relativeHeight="0" simplePos="0">
          <wp:simplePos x="0" y="0"/>
          <wp:positionH relativeFrom="page">
            <wp:posOffset>3252788</wp:posOffset>
          </wp:positionH>
          <wp:positionV relativeFrom="page">
            <wp:posOffset>228600</wp:posOffset>
          </wp:positionV>
          <wp:extent cx="1266825" cy="1266825"/>
          <wp:effectExtent b="0" l="0" r="0" t="0"/>
          <wp:wrapTopAndBottom distB="114300" distT="11430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66825" cy="126682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