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2ED4F">
      <w:pPr>
        <w:pStyle w:val="2"/>
        <w:rPr>
          <w:color w:val="auto"/>
        </w:rPr>
      </w:pPr>
      <w:bookmarkStart w:id="0" w:name="项目情况和给学姐的五个问题"/>
      <w:r>
        <w:rPr>
          <w:color w:val="auto"/>
        </w:rPr>
        <w:t>项目情况</w:t>
      </w:r>
    </w:p>
    <w:p w14:paraId="7362938E">
      <w:pPr>
        <w:pStyle w:val="4"/>
        <w:rPr>
          <w:color w:val="auto"/>
        </w:rPr>
      </w:pPr>
      <w:bookmarkStart w:id="1" w:name="一项目介绍"/>
      <w:r>
        <w:rPr>
          <w:color w:val="auto"/>
        </w:rPr>
        <w:t>一、项目介绍</w:t>
      </w:r>
    </w:p>
    <w:p w14:paraId="4591C328">
      <w:pPr>
        <w:pStyle w:val="24"/>
        <w:rPr>
          <w:color w:val="auto"/>
        </w:rPr>
      </w:pPr>
      <w:r>
        <w:rPr>
          <w:color w:val="auto"/>
        </w:rPr>
        <w:t>论文题目暂定《面向长大下坡场景基于多智能体强化学习的重载列车群组自动控制方法》。研究对象是一万吨级 1+1 重载列车：一个机车带约 100 节货车为一列，</w:t>
      </w:r>
      <w:r>
        <w:rPr>
          <w:rFonts w:hint="eastAsia" w:eastAsia="宋体"/>
          <w:color w:val="auto"/>
          <w:lang w:val="en-US" w:eastAsia="zh-CN"/>
        </w:rPr>
        <w:t>三</w:t>
      </w:r>
      <w:r>
        <w:rPr>
          <w:color w:val="auto"/>
        </w:rPr>
        <w:t>列组成群组，一起通过长大下坡。</w:t>
      </w:r>
    </w:p>
    <w:p w14:paraId="23663961">
      <w:pPr>
        <w:pStyle w:val="3"/>
        <w:rPr>
          <w:rFonts w:hint="eastAsia" w:eastAsia="宋体"/>
          <w:color w:val="auto"/>
          <w:lang w:eastAsia="zh-CN"/>
        </w:rPr>
      </w:pPr>
      <w:r>
        <w:rPr>
          <w:b/>
          <w:bCs/>
          <w:color w:val="auto"/>
        </w:rPr>
        <w:t>核心</w:t>
      </w:r>
      <w:r>
        <w:rPr>
          <w:rFonts w:hint="eastAsia" w:eastAsia="宋体"/>
          <w:b/>
          <w:bCs/>
          <w:color w:val="auto"/>
          <w:lang w:val="en-US" w:eastAsia="zh-CN"/>
        </w:rPr>
        <w:t>观点</w:t>
      </w:r>
      <w:r>
        <w:rPr>
          <w:color w:val="auto"/>
        </w:rPr>
        <w:t>：在长大下坡循环制动场景下，多智能体强化学习策略换线部署时</w:t>
      </w:r>
      <w:r>
        <w:rPr>
          <w:b w:val="0"/>
          <w:bCs w:val="0"/>
          <w:color w:val="auto"/>
        </w:rPr>
        <w:t>零注入、零微调</w:t>
      </w:r>
      <w:r>
        <w:rPr>
          <w:color w:val="auto"/>
        </w:rPr>
        <w:t>，就能达到 MPC 的控制水平。</w:t>
      </w:r>
      <w:r>
        <w:rPr>
          <w:rFonts w:hint="eastAsia" w:eastAsia="宋体"/>
          <w:color w:val="auto"/>
          <w:lang w:eastAsia="zh-CN"/>
        </w:rPr>
        <w:t>（</w:t>
      </w:r>
      <w:r>
        <w:rPr>
          <w:color w:val="auto"/>
        </w:rPr>
        <w:t>MPC 换一条线</w:t>
      </w:r>
      <w:r>
        <w:rPr>
          <w:rFonts w:hint="eastAsia" w:eastAsia="宋体"/>
          <w:color w:val="auto"/>
          <w:lang w:val="en-US" w:eastAsia="zh-CN"/>
        </w:rPr>
        <w:t>需要</w:t>
      </w:r>
      <w:r>
        <w:rPr>
          <w:color w:val="auto"/>
        </w:rPr>
        <w:t>重新</w:t>
      </w:r>
      <w:r>
        <w:rPr>
          <w:rFonts w:hint="eastAsia" w:eastAsia="宋体"/>
          <w:color w:val="auto"/>
          <w:lang w:val="en-US" w:eastAsia="zh-CN"/>
        </w:rPr>
        <w:t>输入</w:t>
      </w:r>
      <w:r>
        <w:rPr>
          <w:color w:val="auto"/>
        </w:rPr>
        <w:t>该线的坡度数据</w:t>
      </w:r>
      <w:r>
        <w:rPr>
          <w:rFonts w:hint="eastAsia" w:eastAsia="宋体"/>
          <w:color w:val="auto"/>
          <w:lang w:val="en-US" w:eastAsia="zh-CN"/>
        </w:rPr>
        <w:t>以及</w:t>
      </w:r>
      <w:r>
        <w:rPr>
          <w:color w:val="auto"/>
        </w:rPr>
        <w:t>重新标定基本阻力系数 b0</w:t>
      </w:r>
      <w:r>
        <w:rPr>
          <w:rFonts w:hint="eastAsia" w:eastAsia="宋体"/>
          <w:color w:val="auto"/>
          <w:lang w:eastAsia="zh-CN"/>
        </w:rPr>
        <w:t>）</w:t>
      </w:r>
    </w:p>
    <w:p w14:paraId="1EC1B08F">
      <w:pPr>
        <w:pStyle w:val="3"/>
        <w:rPr>
          <w:rFonts w:hint="eastAsia" w:eastAsia="宋体"/>
          <w:color w:val="auto"/>
          <w:lang w:val="en-US" w:eastAsia="zh-CN"/>
        </w:rPr>
      </w:pPr>
      <w:r>
        <w:rPr>
          <w:rFonts w:hint="eastAsia" w:eastAsia="宋体"/>
          <w:color w:val="auto"/>
          <w:lang w:val="en-US" w:eastAsia="zh-CN"/>
        </w:rPr>
        <w:t>导师最初给定的方向：</w:t>
      </w:r>
    </w:p>
    <w:p w14:paraId="771D85C4">
      <w:pPr>
        <w:pStyle w:val="3"/>
        <w:rPr>
          <w:rFonts w:hint="eastAsia" w:eastAsia="宋体"/>
          <w:color w:val="auto"/>
          <w:lang w:val="en-US" w:eastAsia="zh-CN"/>
        </w:rPr>
      </w:pPr>
      <w:r>
        <w:rPr>
          <w:rFonts w:hint="eastAsia" w:eastAsia="宋体"/>
          <w:color w:val="auto"/>
          <w:lang w:val="en-US" w:eastAsia="zh-CN"/>
        </w:rPr>
        <w:t>长大下坡，列车编队，万吨级列车，车钩力1000kN以下，安全高效</w:t>
      </w:r>
    </w:p>
    <w:p w14:paraId="0A28391F">
      <w:pPr>
        <w:pStyle w:val="3"/>
        <w:rPr>
          <w:rFonts w:hint="eastAsia"/>
          <w:color w:val="auto"/>
          <w:lang w:val="en-US" w:eastAsia="zh-CN"/>
        </w:rPr>
      </w:pPr>
      <w:r>
        <w:rPr>
          <w:rFonts w:hint="eastAsia"/>
          <w:color w:val="auto"/>
          <w:lang w:val="en-US" w:eastAsia="zh-CN"/>
        </w:rPr>
        <w:t>后续修正：</w:t>
      </w:r>
    </w:p>
    <w:p w14:paraId="4ACBA622">
      <w:pPr>
        <w:pStyle w:val="3"/>
        <w:rPr>
          <w:rFonts w:hint="eastAsia"/>
          <w:color w:val="auto"/>
          <w:lang w:val="en-US" w:eastAsia="zh-CN"/>
        </w:rPr>
      </w:pPr>
      <w:r>
        <w:rPr>
          <w:rFonts w:hint="eastAsia"/>
          <w:color w:val="auto"/>
          <w:lang w:val="en-US" w:eastAsia="zh-CN"/>
        </w:rPr>
        <w:t>需要找到针对MPC（传统方法）的局限MARL的改进，而不是全面超越MPC</w:t>
      </w:r>
    </w:p>
    <w:p w14:paraId="7644D95E">
      <w:pPr>
        <w:pStyle w:val="3"/>
        <w:rPr>
          <w:rFonts w:hint="default"/>
          <w:color w:val="auto"/>
          <w:lang w:val="en-US" w:eastAsia="zh-CN"/>
        </w:rPr>
      </w:pPr>
      <w:r>
        <w:rPr>
          <w:b/>
          <w:bCs/>
          <w:color w:val="auto"/>
        </w:rPr>
        <w:t>实验矩阵</w:t>
      </w:r>
    </w:p>
    <w:tbl>
      <w:tblPr>
        <w:tblStyle w:val="19"/>
        <w:tblpPr w:leftFromText="180" w:rightFromText="180" w:vertAnchor="text" w:horzAnchor="page" w:tblpX="1022" w:tblpY="333"/>
        <w:tblOverlap w:val="never"/>
        <w:tblW w:w="100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25"/>
        <w:gridCol w:w="2034"/>
        <w:gridCol w:w="2507"/>
        <w:gridCol w:w="4793"/>
      </w:tblGrid>
      <w:tr w14:paraId="44015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80" w:hRule="atLeast"/>
        </w:trPr>
        <w:tc>
          <w:tcPr>
            <w:tcW w:w="725" w:type="dxa"/>
            <w:tcBorders>
              <w:top w:val="single" w:color="FFFFFF" w:sz="6" w:space="0"/>
              <w:left w:val="single" w:color="FFFFFF" w:sz="6" w:space="0"/>
              <w:bottom w:val="single" w:color="FFFFFF" w:sz="18" w:space="0"/>
              <w:right w:val="single" w:color="FFFFFF" w:sz="6" w:space="0"/>
            </w:tcBorders>
            <w:shd w:val="clear" w:color="auto" w:fill="5B9BD5"/>
            <w:tcMar>
              <w:top w:w="72" w:type="dxa"/>
              <w:left w:w="144" w:type="dxa"/>
              <w:bottom w:w="72" w:type="dxa"/>
              <w:right w:w="144" w:type="dxa"/>
            </w:tcMar>
            <w:vAlign w:val="top"/>
          </w:tcPr>
          <w:p w14:paraId="4880EDD7">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组别</w:t>
            </w:r>
          </w:p>
        </w:tc>
        <w:tc>
          <w:tcPr>
            <w:tcW w:w="2034" w:type="dxa"/>
            <w:tcBorders>
              <w:top w:val="single" w:color="FFFFFF" w:sz="6" w:space="0"/>
              <w:left w:val="single" w:color="FFFFFF" w:sz="6" w:space="0"/>
              <w:bottom w:val="single" w:color="FFFFFF" w:sz="18" w:space="0"/>
              <w:right w:val="single" w:color="FFFFFF" w:sz="6" w:space="0"/>
            </w:tcBorders>
            <w:shd w:val="clear" w:color="auto" w:fill="5B9BD5"/>
            <w:tcMar>
              <w:top w:w="72" w:type="dxa"/>
              <w:left w:w="144" w:type="dxa"/>
              <w:bottom w:w="72" w:type="dxa"/>
              <w:right w:w="144" w:type="dxa"/>
            </w:tcMar>
            <w:vAlign w:val="top"/>
          </w:tcPr>
          <w:p w14:paraId="0089D0F7">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场景</w:t>
            </w:r>
          </w:p>
        </w:tc>
        <w:tc>
          <w:tcPr>
            <w:tcW w:w="2507" w:type="dxa"/>
            <w:tcBorders>
              <w:top w:val="single" w:color="FFFFFF" w:sz="6" w:space="0"/>
              <w:left w:val="single" w:color="FFFFFF" w:sz="6" w:space="0"/>
              <w:bottom w:val="single" w:color="FFFFFF" w:sz="18" w:space="0"/>
              <w:right w:val="single" w:color="FFFFFF" w:sz="6" w:space="0"/>
            </w:tcBorders>
            <w:shd w:val="clear" w:color="auto" w:fill="5B9BD5"/>
            <w:tcMar>
              <w:top w:w="72" w:type="dxa"/>
              <w:left w:w="144" w:type="dxa"/>
              <w:bottom w:w="72" w:type="dxa"/>
              <w:right w:w="144" w:type="dxa"/>
            </w:tcMar>
            <w:vAlign w:val="top"/>
          </w:tcPr>
          <w:p w14:paraId="1D95CD90">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方法</w:t>
            </w:r>
          </w:p>
        </w:tc>
        <w:tc>
          <w:tcPr>
            <w:tcW w:w="4793" w:type="dxa"/>
            <w:tcBorders>
              <w:top w:val="single" w:color="FFFFFF" w:sz="6" w:space="0"/>
              <w:left w:val="single" w:color="FFFFFF" w:sz="6" w:space="0"/>
              <w:bottom w:val="single" w:color="FFFFFF" w:sz="18" w:space="0"/>
              <w:right w:val="single" w:color="FFFFFF" w:sz="6" w:space="0"/>
            </w:tcBorders>
            <w:shd w:val="clear" w:color="auto" w:fill="5B9BD5"/>
            <w:tcMar>
              <w:top w:w="72" w:type="dxa"/>
              <w:left w:w="144" w:type="dxa"/>
              <w:bottom w:w="72" w:type="dxa"/>
              <w:right w:w="144" w:type="dxa"/>
            </w:tcMar>
            <w:vAlign w:val="top"/>
          </w:tcPr>
          <w:p w14:paraId="22BF6DFE">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指标</w:t>
            </w:r>
          </w:p>
        </w:tc>
      </w:tr>
      <w:tr w14:paraId="0A856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677" w:hRule="atLeast"/>
        </w:trPr>
        <w:tc>
          <w:tcPr>
            <w:tcW w:w="725" w:type="dxa"/>
            <w:tcBorders>
              <w:top w:val="single" w:color="FFFFFF" w:sz="6" w:space="0"/>
              <w:left w:val="single" w:color="FFFFFF" w:sz="6" w:space="0"/>
              <w:bottom w:val="single" w:color="FFFFFF" w:sz="18" w:space="0"/>
              <w:right w:val="single" w:color="FFFFFF" w:sz="6" w:space="0"/>
            </w:tcBorders>
            <w:shd w:val="clear" w:color="auto" w:fill="D2DEEF"/>
            <w:tcMar>
              <w:top w:w="72" w:type="dxa"/>
              <w:left w:w="144" w:type="dxa"/>
              <w:bottom w:w="72" w:type="dxa"/>
              <w:right w:w="144" w:type="dxa"/>
            </w:tcMar>
            <w:vAlign w:val="top"/>
          </w:tcPr>
          <w:p w14:paraId="2E8D47C3">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主对比</w:t>
            </w:r>
          </w:p>
        </w:tc>
        <w:tc>
          <w:tcPr>
            <w:tcW w:w="2034" w:type="dxa"/>
            <w:tcBorders>
              <w:top w:val="single" w:color="FFFFFF" w:sz="6" w:space="0"/>
              <w:left w:val="single" w:color="FFFFFF" w:sz="6" w:space="0"/>
              <w:bottom w:val="single" w:color="FFFFFF" w:sz="18" w:space="0"/>
              <w:right w:val="single" w:color="FFFFFF" w:sz="6" w:space="0"/>
            </w:tcBorders>
            <w:shd w:val="clear" w:color="auto" w:fill="D2DEEF"/>
            <w:tcMar>
              <w:top w:w="72" w:type="dxa"/>
              <w:left w:w="144" w:type="dxa"/>
              <w:bottom w:w="72" w:type="dxa"/>
              <w:right w:w="144" w:type="dxa"/>
            </w:tcMar>
            <w:vAlign w:val="top"/>
          </w:tcPr>
          <w:p w14:paraId="400CA797">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53.2 km 朔黄</w:t>
            </w:r>
          </w:p>
        </w:tc>
        <w:tc>
          <w:tcPr>
            <w:tcW w:w="2507" w:type="dxa"/>
            <w:tcBorders>
              <w:top w:val="single" w:color="FFFFFF" w:sz="6" w:space="0"/>
              <w:left w:val="single" w:color="FFFFFF" w:sz="6" w:space="0"/>
              <w:bottom w:val="single" w:color="FFFFFF" w:sz="18" w:space="0"/>
              <w:right w:val="single" w:color="FFFFFF" w:sz="6" w:space="0"/>
            </w:tcBorders>
            <w:shd w:val="clear" w:color="auto" w:fill="D2DEEF"/>
            <w:tcMar>
              <w:top w:w="72" w:type="dxa"/>
              <w:left w:w="144" w:type="dxa"/>
              <w:bottom w:w="72" w:type="dxa"/>
              <w:right w:w="144" w:type="dxa"/>
            </w:tcMar>
            <w:vAlign w:val="top"/>
          </w:tcPr>
          <w:p w14:paraId="54AE9927">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MARL/规则层/NMPC</w:t>
            </w:r>
          </w:p>
        </w:tc>
        <w:tc>
          <w:tcPr>
            <w:tcW w:w="4793" w:type="dxa"/>
            <w:tcBorders>
              <w:top w:val="single" w:color="FFFFFF" w:sz="6" w:space="0"/>
              <w:left w:val="single" w:color="FFFFFF" w:sz="6" w:space="0"/>
              <w:bottom w:val="single" w:color="FFFFFF" w:sz="18" w:space="0"/>
              <w:right w:val="single" w:color="FFFFFF" w:sz="6" w:space="0"/>
            </w:tcBorders>
            <w:shd w:val="clear" w:color="auto" w:fill="D2DEEF"/>
            <w:tcMar>
              <w:top w:w="72" w:type="dxa"/>
              <w:left w:w="144" w:type="dxa"/>
              <w:bottom w:w="72" w:type="dxa"/>
              <w:right w:w="144" w:type="dxa"/>
            </w:tcMar>
            <w:vAlign w:val="top"/>
          </w:tcPr>
          <w:p w14:paraId="42CAEAF7">
            <w:pPr>
              <w:pStyle w:val="13"/>
              <w:bidi w:val="0"/>
              <w:rPr>
                <w:rStyle w:val="20"/>
                <w:rFonts w:hint="eastAsia"/>
                <w:lang w:val="en-US" w:eastAsia="zh-CN"/>
              </w:rPr>
            </w:pPr>
            <w:r>
              <w:rPr>
                <w:rStyle w:val="20"/>
                <w:rFonts w:hint="eastAsia"/>
                <w:lang w:val="en-US" w:eastAsia="zh-CN"/>
              </w:rPr>
              <w:t>车钩力断面力峰值·超限步数</w:t>
            </w:r>
          </w:p>
          <w:p w14:paraId="4148299B">
            <w:pPr>
              <w:pStyle w:val="13"/>
              <w:bidi w:val="0"/>
              <w:rPr>
                <w:rStyle w:val="20"/>
                <w:rFonts w:hint="eastAsia"/>
                <w:lang w:val="en-US" w:eastAsia="zh-CN"/>
              </w:rPr>
            </w:pPr>
            <w:r>
              <w:rPr>
                <w:rStyle w:val="20"/>
                <w:rFonts w:hint="eastAsia"/>
                <w:lang w:val="en-US" w:eastAsia="zh-CN"/>
              </w:rPr>
              <w:t>平均/峰值绝对误差·最小列距 速度带落地率·末速</w:t>
            </w:r>
          </w:p>
          <w:p w14:paraId="534D7CC8">
            <w:pPr>
              <w:pStyle w:val="13"/>
              <w:bidi w:val="0"/>
              <w:rPr>
                <w:rStyle w:val="20"/>
                <w:rFonts w:hint="eastAsia"/>
                <w:lang w:val="en-US" w:eastAsia="zh-CN"/>
              </w:rPr>
            </w:pPr>
            <w:r>
              <w:rPr>
                <w:rStyle w:val="20"/>
                <w:rFonts w:hint="eastAsia"/>
                <w:lang w:val="en-US" w:eastAsia="zh-CN"/>
              </w:rPr>
              <w:t> ATP 触发次数</w:t>
            </w:r>
          </w:p>
          <w:p w14:paraId="6676CAF5">
            <w:pPr>
              <w:pStyle w:val="13"/>
              <w:bidi w:val="0"/>
              <w:rPr>
                <w:rFonts w:hint="eastAsia" w:asciiTheme="minorHAnsi" w:hAnsiTheme="minorHAnsi" w:eastAsiaTheme="minorHAnsi" w:cstheme="minorBidi"/>
                <w:color w:val="auto"/>
                <w:kern w:val="0"/>
                <w:szCs w:val="24"/>
                <w:lang w:val="en-US" w:eastAsia="zh-CN" w:bidi="ar-SA"/>
              </w:rPr>
            </w:pPr>
            <w:r>
              <w:rPr>
                <w:rStyle w:val="20"/>
                <w:rFonts w:hint="eastAsia"/>
                <w:lang w:val="en-US" w:eastAsia="zh-CN"/>
              </w:rPr>
              <w:t> MPC 求解失败次数·求解耗时</w:t>
            </w:r>
          </w:p>
        </w:tc>
      </w:tr>
      <w:tr w14:paraId="151F2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40" w:hRule="atLeast"/>
        </w:trPr>
        <w:tc>
          <w:tcPr>
            <w:tcW w:w="725" w:type="dxa"/>
            <w:tcBorders>
              <w:top w:val="single" w:color="FFFFFF" w:sz="6" w:space="0"/>
              <w:left w:val="single" w:color="FFFFFF" w:sz="6" w:space="0"/>
              <w:bottom w:val="single" w:color="FFFFFF" w:sz="18" w:space="0"/>
              <w:right w:val="single" w:color="FFFFFF" w:sz="6" w:space="0"/>
            </w:tcBorders>
            <w:shd w:val="clear" w:color="auto" w:fill="EAEFF7"/>
            <w:tcMar>
              <w:top w:w="72" w:type="dxa"/>
              <w:left w:w="144" w:type="dxa"/>
              <w:bottom w:w="72" w:type="dxa"/>
              <w:right w:w="144" w:type="dxa"/>
            </w:tcMar>
            <w:vAlign w:val="top"/>
          </w:tcPr>
          <w:p w14:paraId="37F0B210">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default" w:asciiTheme="minorHAnsi" w:hAnsiTheme="minorHAnsi" w:eastAsiaTheme="minorHAnsi" w:cstheme="minorBidi"/>
                <w:color w:val="auto"/>
                <w:kern w:val="0"/>
                <w:sz w:val="24"/>
                <w:szCs w:val="24"/>
                <w:lang w:val="en-US" w:eastAsia="zh-CN" w:bidi="ar-SA"/>
              </w:rPr>
              <w:t>跨线泛化</w:t>
            </w:r>
          </w:p>
        </w:tc>
        <w:tc>
          <w:tcPr>
            <w:tcW w:w="2034" w:type="dxa"/>
            <w:tcBorders>
              <w:top w:val="single" w:color="FFFFFF" w:sz="6" w:space="0"/>
              <w:left w:val="single" w:color="FFFFFF" w:sz="6" w:space="0"/>
              <w:bottom w:val="single" w:color="FFFFFF" w:sz="18" w:space="0"/>
              <w:right w:val="single" w:color="FFFFFF" w:sz="6" w:space="0"/>
            </w:tcBorders>
            <w:shd w:val="clear" w:color="auto" w:fill="EAEFF7"/>
            <w:tcMar>
              <w:top w:w="72" w:type="dxa"/>
              <w:left w:w="144" w:type="dxa"/>
              <w:bottom w:w="72" w:type="dxa"/>
              <w:right w:w="144" w:type="dxa"/>
            </w:tcMar>
            <w:vAlign w:val="top"/>
          </w:tcPr>
          <w:p w14:paraId="45E25B6D">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训练 53.2 km → 测试 35 km（自构建剖面）</w:t>
            </w:r>
          </w:p>
        </w:tc>
        <w:tc>
          <w:tcPr>
            <w:tcW w:w="2507" w:type="dxa"/>
            <w:tcBorders>
              <w:top w:val="single" w:color="FFFFFF" w:sz="6" w:space="0"/>
              <w:left w:val="single" w:color="FFFFFF" w:sz="6" w:space="0"/>
              <w:bottom w:val="single" w:color="FFFFFF" w:sz="18" w:space="0"/>
              <w:right w:val="single" w:color="FFFFFF" w:sz="6" w:space="0"/>
            </w:tcBorders>
            <w:shd w:val="clear" w:color="auto" w:fill="EAEFF7"/>
            <w:tcMar>
              <w:top w:w="72" w:type="dxa"/>
              <w:left w:w="144" w:type="dxa"/>
              <w:bottom w:w="72" w:type="dxa"/>
              <w:right w:w="144" w:type="dxa"/>
            </w:tcMar>
            <w:vAlign w:val="top"/>
          </w:tcPr>
          <w:p w14:paraId="0CBE8031">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MARL+规则层（零微调）</w:t>
            </w:r>
          </w:p>
          <w:p w14:paraId="4932E57E">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 NMPC（重标定）</w:t>
            </w:r>
          </w:p>
        </w:tc>
        <w:tc>
          <w:tcPr>
            <w:tcW w:w="4793" w:type="dxa"/>
            <w:tcBorders>
              <w:top w:val="single" w:color="FFFFFF" w:sz="6" w:space="0"/>
              <w:left w:val="single" w:color="FFFFFF" w:sz="6" w:space="0"/>
              <w:bottom w:val="single" w:color="FFFFFF" w:sz="18" w:space="0"/>
              <w:right w:val="single" w:color="FFFFFF" w:sz="6" w:space="0"/>
            </w:tcBorders>
            <w:shd w:val="clear" w:color="auto" w:fill="EAEFF7"/>
            <w:tcMar>
              <w:top w:w="72" w:type="dxa"/>
              <w:left w:w="144" w:type="dxa"/>
              <w:bottom w:w="72" w:type="dxa"/>
              <w:right w:w="144" w:type="dxa"/>
            </w:tcMar>
            <w:vAlign w:val="top"/>
          </w:tcPr>
          <w:p w14:paraId="18AA115F">
            <w:pPr>
              <w:pStyle w:val="13"/>
              <w:bidi w:val="0"/>
              <w:rPr>
                <w:rFonts w:hint="eastAsia" w:asciiTheme="minorHAnsi" w:hAnsiTheme="minorHAnsi" w:eastAsiaTheme="minorHAnsi" w:cstheme="minorBidi"/>
                <w:color w:val="auto"/>
                <w:kern w:val="0"/>
                <w:sz w:val="24"/>
                <w:szCs w:val="24"/>
                <w:lang w:val="en-US" w:eastAsia="zh-CN" w:bidi="ar-SA"/>
              </w:rPr>
            </w:pPr>
            <w:r>
              <w:rPr>
                <w:rStyle w:val="20"/>
                <w:rFonts w:hint="eastAsia" w:ascii="Times New Roman" w:hAnsi="Times New Roman" w:eastAsia="宋体" w:cs="Times New Roman"/>
                <w:lang w:val="en-US" w:eastAsia="zh-CN"/>
              </w:rPr>
              <w:t>实验一指标+性能保持率</w:t>
            </w:r>
          </w:p>
        </w:tc>
      </w:tr>
      <w:tr w14:paraId="09F0B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65" w:hRule="atLeast"/>
        </w:trPr>
        <w:tc>
          <w:tcPr>
            <w:tcW w:w="725" w:type="dxa"/>
            <w:tcBorders>
              <w:top w:val="single" w:color="FFFFFF" w:sz="6" w:space="0"/>
              <w:left w:val="single" w:color="FFFFFF" w:sz="6" w:space="0"/>
              <w:bottom w:val="single" w:color="FFFFFF" w:sz="18" w:space="0"/>
              <w:right w:val="single" w:color="FFFFFF" w:sz="6" w:space="0"/>
            </w:tcBorders>
            <w:shd w:val="clear" w:color="auto" w:fill="D2DEEF"/>
            <w:tcMar>
              <w:top w:w="72" w:type="dxa"/>
              <w:left w:w="144" w:type="dxa"/>
              <w:bottom w:w="72" w:type="dxa"/>
              <w:right w:w="144" w:type="dxa"/>
            </w:tcMar>
            <w:vAlign w:val="top"/>
          </w:tcPr>
          <w:p w14:paraId="7C17F4A9">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default" w:asciiTheme="minorHAnsi" w:hAnsiTheme="minorHAnsi" w:eastAsiaTheme="minorHAnsi" w:cstheme="minorBidi"/>
                <w:color w:val="auto"/>
                <w:kern w:val="0"/>
                <w:sz w:val="24"/>
                <w:szCs w:val="24"/>
                <w:lang w:val="en-US" w:eastAsia="zh-CN" w:bidi="ar-SA"/>
              </w:rPr>
              <w:t>鲁棒性</w:t>
            </w:r>
          </w:p>
        </w:tc>
        <w:tc>
          <w:tcPr>
            <w:tcW w:w="2034" w:type="dxa"/>
            <w:tcBorders>
              <w:top w:val="single" w:color="FFFFFF" w:sz="6" w:space="0"/>
              <w:left w:val="single" w:color="FFFFFF" w:sz="6" w:space="0"/>
              <w:bottom w:val="single" w:color="FFFFFF" w:sz="18" w:space="0"/>
              <w:right w:val="single" w:color="FFFFFF" w:sz="6" w:space="0"/>
            </w:tcBorders>
            <w:shd w:val="clear" w:color="auto" w:fill="D2DEEF"/>
            <w:tcMar>
              <w:top w:w="72" w:type="dxa"/>
              <w:left w:w="144" w:type="dxa"/>
              <w:bottom w:w="72" w:type="dxa"/>
              <w:right w:w="144" w:type="dxa"/>
            </w:tcMar>
            <w:vAlign w:val="top"/>
          </w:tcPr>
          <w:p w14:paraId="46B0202D">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53.2 km 同线，增加初速 / 限速 / 坡度相位扰动</w:t>
            </w:r>
          </w:p>
        </w:tc>
        <w:tc>
          <w:tcPr>
            <w:tcW w:w="2507" w:type="dxa"/>
            <w:tcBorders>
              <w:top w:val="single" w:color="FFFFFF" w:sz="6" w:space="0"/>
              <w:left w:val="single" w:color="FFFFFF" w:sz="6" w:space="0"/>
              <w:bottom w:val="single" w:color="FFFFFF" w:sz="18" w:space="0"/>
              <w:right w:val="single" w:color="FFFFFF" w:sz="6" w:space="0"/>
            </w:tcBorders>
            <w:shd w:val="clear" w:color="auto" w:fill="D2DEEF"/>
            <w:tcMar>
              <w:top w:w="72" w:type="dxa"/>
              <w:left w:w="144" w:type="dxa"/>
              <w:bottom w:w="72" w:type="dxa"/>
              <w:right w:w="144" w:type="dxa"/>
            </w:tcMar>
            <w:vAlign w:val="top"/>
          </w:tcPr>
          <w:p w14:paraId="13C47FEB">
            <w:pPr>
              <w:pStyle w:val="18"/>
              <w:keepNext w:val="0"/>
              <w:keepLines w:val="0"/>
              <w:widowControl/>
              <w:suppressLineNumbers w:val="0"/>
              <w:kinsoku/>
              <w:wordWrap/>
              <w:overflowPunct/>
              <w:jc w:val="left"/>
              <w:rPr>
                <w:rFonts w:hint="eastAsia" w:asciiTheme="minorHAnsi" w:hAnsiTheme="minorHAnsi" w:eastAsiaTheme="minorHAnsi" w:cstheme="minorBidi"/>
                <w:color w:val="auto"/>
                <w:kern w:val="0"/>
                <w:sz w:val="24"/>
                <w:szCs w:val="24"/>
                <w:lang w:val="en-US" w:eastAsia="zh-CN" w:bidi="ar-SA"/>
              </w:rPr>
            </w:pPr>
            <w:r>
              <w:rPr>
                <w:rFonts w:hint="eastAsia" w:asciiTheme="minorHAnsi" w:hAnsiTheme="minorHAnsi" w:eastAsiaTheme="minorHAnsi" w:cstheme="minorBidi"/>
                <w:color w:val="auto"/>
                <w:kern w:val="0"/>
                <w:sz w:val="24"/>
                <w:szCs w:val="24"/>
                <w:lang w:val="en-US" w:eastAsia="zh-CN" w:bidi="ar-SA"/>
              </w:rPr>
              <w:t>MARL+规则层/NMPC</w:t>
            </w:r>
          </w:p>
        </w:tc>
        <w:tc>
          <w:tcPr>
            <w:tcW w:w="4793" w:type="dxa"/>
            <w:tcBorders>
              <w:top w:val="single" w:color="FFFFFF" w:sz="6" w:space="0"/>
              <w:left w:val="single" w:color="FFFFFF" w:sz="6" w:space="0"/>
              <w:bottom w:val="single" w:color="FFFFFF" w:sz="18" w:space="0"/>
              <w:right w:val="single" w:color="FFFFFF" w:sz="6" w:space="0"/>
            </w:tcBorders>
            <w:shd w:val="clear" w:color="auto" w:fill="D2DEEF"/>
            <w:tcMar>
              <w:top w:w="72" w:type="dxa"/>
              <w:left w:w="144" w:type="dxa"/>
              <w:bottom w:w="72" w:type="dxa"/>
              <w:right w:w="144" w:type="dxa"/>
            </w:tcMar>
            <w:vAlign w:val="top"/>
          </w:tcPr>
          <w:p w14:paraId="68194050">
            <w:pPr>
              <w:pStyle w:val="13"/>
              <w:bidi w:val="0"/>
              <w:rPr>
                <w:rStyle w:val="20"/>
                <w:rFonts w:hint="eastAsia" w:ascii="Times New Roman" w:hAnsi="Times New Roman" w:eastAsia="宋体" w:cs="Times New Roman"/>
                <w:lang w:val="en-US" w:eastAsia="zh-CN"/>
              </w:rPr>
            </w:pPr>
            <w:r>
              <w:rPr>
                <w:rStyle w:val="20"/>
                <w:rFonts w:hint="eastAsia" w:ascii="Times New Roman" w:hAnsi="Times New Roman" w:eastAsia="宋体" w:cs="Times New Roman"/>
                <w:lang w:val="en-US" w:eastAsia="zh-CN"/>
              </w:rPr>
              <w:t>断面力峰值 · 超限步数</w:t>
            </w:r>
          </w:p>
          <w:p w14:paraId="6C4315E9">
            <w:pPr>
              <w:pStyle w:val="13"/>
              <w:bidi w:val="0"/>
              <w:rPr>
                <w:rStyle w:val="20"/>
                <w:rFonts w:hint="eastAsia" w:ascii="Times New Roman" w:hAnsi="Times New Roman" w:eastAsia="宋体" w:cs="Times New Roman"/>
                <w:lang w:val="en-US" w:eastAsia="zh-CN"/>
              </w:rPr>
            </w:pPr>
            <w:r>
              <w:rPr>
                <w:rStyle w:val="20"/>
                <w:rFonts w:hint="eastAsia" w:ascii="Times New Roman" w:hAnsi="Times New Roman" w:eastAsia="宋体" w:cs="Times New Roman"/>
                <w:lang w:val="en-US" w:eastAsia="zh-CN"/>
              </w:rPr>
              <w:t> 最小实际列距</w:t>
            </w:r>
          </w:p>
          <w:p w14:paraId="0B2706BF">
            <w:pPr>
              <w:pStyle w:val="13"/>
              <w:bidi w:val="0"/>
              <w:rPr>
                <w:rStyle w:val="20"/>
                <w:rFonts w:hint="eastAsia" w:ascii="Times New Roman" w:hAnsi="Times New Roman" w:eastAsia="宋体" w:cs="Times New Roman"/>
                <w:lang w:val="en-US" w:eastAsia="zh-CN"/>
              </w:rPr>
            </w:pPr>
            <w:r>
              <w:rPr>
                <w:rStyle w:val="20"/>
                <w:rFonts w:hint="eastAsia" w:ascii="Times New Roman" w:hAnsi="Times New Roman" w:eastAsia="宋体" w:cs="Times New Roman"/>
                <w:lang w:val="en-US" w:eastAsia="zh-CN"/>
              </w:rPr>
              <w:t> 落地率 · 末速</w:t>
            </w:r>
          </w:p>
          <w:p w14:paraId="233ABBB8">
            <w:pPr>
              <w:pStyle w:val="13"/>
              <w:bidi w:val="0"/>
              <w:rPr>
                <w:rFonts w:hint="eastAsia" w:asciiTheme="minorHAnsi" w:hAnsiTheme="minorHAnsi" w:eastAsiaTheme="minorHAnsi" w:cstheme="minorBidi"/>
                <w:color w:val="auto"/>
                <w:kern w:val="0"/>
                <w:sz w:val="24"/>
                <w:szCs w:val="24"/>
                <w:lang w:val="en-US" w:eastAsia="zh-CN" w:bidi="ar-SA"/>
              </w:rPr>
            </w:pPr>
            <w:r>
              <w:rPr>
                <w:rStyle w:val="20"/>
                <w:rFonts w:hint="eastAsia" w:ascii="Times New Roman" w:hAnsi="Times New Roman" w:eastAsia="宋体" w:cs="Times New Roman"/>
                <w:lang w:val="en-US" w:eastAsia="zh-CN"/>
              </w:rPr>
              <w:t> ATP 触发次数</w:t>
            </w:r>
          </w:p>
        </w:tc>
      </w:tr>
    </w:tbl>
    <w:p w14:paraId="3C2D37F9">
      <w:pPr>
        <w:pStyle w:val="3"/>
        <w:rPr>
          <w:b/>
          <w:bCs/>
          <w:color w:val="auto"/>
        </w:rPr>
      </w:pPr>
    </w:p>
    <w:p w14:paraId="479BD264">
      <w:pPr>
        <w:pStyle w:val="3"/>
        <w:rPr>
          <w:color w:val="auto"/>
        </w:rPr>
      </w:pPr>
      <w:r>
        <w:rPr>
          <w:b/>
          <w:bCs/>
          <w:color w:val="auto"/>
        </w:rPr>
        <w:t>实验现状</w:t>
      </w:r>
    </w:p>
    <w:p w14:paraId="22A33445">
      <w:pPr>
        <w:pStyle w:val="3"/>
        <w:rPr>
          <w:color w:val="auto"/>
        </w:rPr>
      </w:pPr>
      <w:r>
        <w:rPr>
          <w:color w:val="auto"/>
        </w:rPr>
        <w:t>已</w:t>
      </w:r>
      <w:r>
        <w:rPr>
          <w:rFonts w:hint="eastAsia" w:eastAsia="宋体"/>
          <w:color w:val="auto"/>
          <w:lang w:val="en-US" w:eastAsia="zh-CN"/>
        </w:rPr>
        <w:t>完成</w:t>
      </w:r>
      <w:r>
        <w:rPr>
          <w:color w:val="auto"/>
        </w:rPr>
        <w:t>：</w:t>
      </w:r>
    </w:p>
    <w:p w14:paraId="3EF360AB">
      <w:pPr>
        <w:pStyle w:val="25"/>
        <w:numPr>
          <w:ilvl w:val="0"/>
          <w:numId w:val="1"/>
        </w:numPr>
        <w:ind w:left="240" w:leftChars="0"/>
        <w:rPr>
          <w:color w:val="auto"/>
        </w:rPr>
      </w:pPr>
      <w:r>
        <w:rPr>
          <w:color w:val="auto"/>
        </w:rPr>
        <w:t>仿真器 + 训练环境 + 安全层，并用文献锚点验证过（车钩 2270 kN@83 mm、速度曲线对标文献实测编组）</w:t>
      </w:r>
    </w:p>
    <w:p w14:paraId="769BCB8F">
      <w:pPr>
        <w:pStyle w:val="25"/>
        <w:numPr>
          <w:numId w:val="0"/>
        </w:numPr>
        <w:rPr>
          <w:color w:val="auto"/>
        </w:rPr>
      </w:pPr>
    </w:p>
    <w:p w14:paraId="4D45F9A7">
      <w:pPr>
        <w:pStyle w:val="25"/>
        <w:numPr>
          <w:ilvl w:val="0"/>
          <w:numId w:val="1"/>
        </w:numPr>
        <w:ind w:left="240" w:leftChars="0" w:firstLine="0" w:firstLineChars="0"/>
        <w:rPr>
          <w:color w:val="auto"/>
        </w:rPr>
      </w:pPr>
      <w:r>
        <w:rPr>
          <w:rFonts w:hint="eastAsia" w:eastAsia="宋体"/>
          <w:color w:val="auto"/>
          <w:lang w:val="en-US" w:eastAsia="zh-CN"/>
        </w:rPr>
        <w:t>经过多轮迭代，有了完整的</w:t>
      </w:r>
      <w:r>
        <w:rPr>
          <w:color w:val="auto"/>
        </w:rPr>
        <w:t>训练框架与主配置；30 episode 的试点训练</w:t>
      </w:r>
      <w:r>
        <w:rPr>
          <w:rFonts w:hint="eastAsia" w:eastAsia="宋体"/>
          <w:color w:val="auto"/>
          <w:lang w:val="en-US" w:eastAsia="zh-CN"/>
        </w:rPr>
        <w:t>结果</w:t>
      </w:r>
      <w:r>
        <w:rPr>
          <w:color w:val="auto"/>
        </w:rPr>
        <w:t>（车钩峰值 998 kN、超限 0 步、限速带内 96.8%）</w:t>
      </w:r>
    </w:p>
    <w:p w14:paraId="7A80B565">
      <w:pPr>
        <w:pStyle w:val="25"/>
        <w:numPr>
          <w:numId w:val="0"/>
        </w:numPr>
        <w:ind w:left="240" w:leftChars="0"/>
        <w:rPr>
          <w:color w:val="auto"/>
        </w:rPr>
      </w:pPr>
      <w:r>
        <w:drawing>
          <wp:inline distT="0" distB="0" distL="114300" distR="114300">
            <wp:extent cx="4443730" cy="5325745"/>
            <wp:effectExtent l="0" t="0" r="13970" b="825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4443730" cy="5325745"/>
                    </a:xfrm>
                    <a:prstGeom prst="rect">
                      <a:avLst/>
                    </a:prstGeom>
                  </pic:spPr>
                </pic:pic>
              </a:graphicData>
            </a:graphic>
          </wp:inline>
        </w:drawing>
      </w:r>
    </w:p>
    <w:p w14:paraId="525C57A9">
      <w:pPr>
        <w:pStyle w:val="25"/>
        <w:numPr>
          <w:ilvl w:val="0"/>
          <w:numId w:val="1"/>
        </w:numPr>
        <w:ind w:left="240" w:leftChars="0" w:firstLine="0" w:firstLineChars="0"/>
        <w:rPr>
          <w:color w:val="auto"/>
        </w:rPr>
      </w:pPr>
      <w:r>
        <w:rPr>
          <w:color w:val="auto"/>
        </w:rPr>
        <w:t>D-Rule 和 NMPC 两条基线已实现，都在 53 km 全程评估跑过</w:t>
      </w:r>
    </w:p>
    <w:p w14:paraId="7F49805E">
      <w:pPr>
        <w:pStyle w:val="24"/>
        <w:rPr>
          <w:color w:val="auto"/>
        </w:rPr>
      </w:pPr>
      <w:r>
        <w:rPr>
          <w:rFonts w:hint="eastAsia" w:eastAsia="宋体"/>
          <w:color w:val="auto"/>
          <w:lang w:val="en-US" w:eastAsia="zh-CN"/>
        </w:rPr>
        <w:t>未完成</w:t>
      </w:r>
      <w:r>
        <w:rPr>
          <w:color w:val="auto"/>
        </w:rPr>
        <w:t>：</w:t>
      </w:r>
    </w:p>
    <w:p w14:paraId="79005DDA">
      <w:pPr>
        <w:pStyle w:val="25"/>
        <w:numPr>
          <w:numId w:val="0"/>
        </w:numPr>
        <w:ind w:left="240" w:leftChars="0"/>
        <w:rPr>
          <w:rFonts w:hint="default" w:eastAsia="宋体"/>
          <w:b/>
          <w:bCs/>
          <w:color w:val="auto"/>
          <w:lang w:val="en-US" w:eastAsia="zh-CN"/>
        </w:rPr>
      </w:pPr>
      <w:r>
        <w:rPr>
          <w:color w:val="auto"/>
        </w:rPr>
        <w:t>正式主训练 1400 ep × 5 seeds 没跑完，现在手里只有试点检查点</w:t>
      </w:r>
      <w:r>
        <w:rPr>
          <w:rFonts w:hint="eastAsia" w:eastAsia="宋体"/>
          <w:color w:val="auto"/>
          <w:lang w:eastAsia="zh-CN"/>
        </w:rPr>
        <w:t>。</w:t>
      </w:r>
      <w:r>
        <w:rPr>
          <w:rFonts w:hint="eastAsia" w:eastAsia="宋体"/>
          <w:color w:val="auto"/>
          <w:lang w:val="en-US" w:eastAsia="zh-CN"/>
        </w:rPr>
        <w:t>由于没有正式主结果，对比试验还没有做</w:t>
      </w:r>
    </w:p>
    <w:p w14:paraId="5D6C08CA">
      <w:pPr>
        <w:pStyle w:val="24"/>
        <w:rPr>
          <w:color w:val="auto"/>
        </w:rPr>
      </w:pPr>
      <w:r>
        <w:rPr>
          <w:b/>
          <w:bCs/>
          <w:color w:val="auto"/>
        </w:rPr>
        <w:t>图 1：训练与评估线路（53 km 坡度剖面）</w:t>
      </w:r>
    </w:p>
    <w:p w14:paraId="3D599811">
      <w:pPr>
        <w:pStyle w:val="35"/>
        <w:rPr>
          <w:color w:val="auto"/>
        </w:rPr>
      </w:pPr>
      <w:r>
        <w:rPr>
          <w:color w:val="auto"/>
        </w:rPr>
        <w:drawing>
          <wp:inline distT="0" distB="0" distL="114300" distR="114300">
            <wp:extent cx="5334000" cy="3017520"/>
            <wp:effectExtent l="0" t="0" r="0" b="0"/>
            <wp:docPr id="2" name="Picture" descr="53km 剖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53km 剖面"/>
                    <pic:cNvPicPr>
                      <a:picLocks noChangeAspect="1" noChangeArrowheads="1"/>
                    </pic:cNvPicPr>
                  </pic:nvPicPr>
                  <pic:blipFill>
                    <a:blip r:embed="rId6"/>
                    <a:stretch>
                      <a:fillRect/>
                    </a:stretch>
                  </pic:blipFill>
                  <pic:spPr>
                    <a:xfrm>
                      <a:off x="0" y="0"/>
                      <a:ext cx="5334000" cy="3017715"/>
                    </a:xfrm>
                    <a:prstGeom prst="rect">
                      <a:avLst/>
                    </a:prstGeom>
                    <a:noFill/>
                    <a:ln w="9525">
                      <a:noFill/>
                    </a:ln>
                  </pic:spPr>
                </pic:pic>
              </a:graphicData>
            </a:graphic>
          </wp:inline>
        </w:drawing>
      </w:r>
    </w:p>
    <w:p w14:paraId="62DB00D3">
      <w:pPr>
        <w:pStyle w:val="3"/>
        <w:rPr>
          <w:color w:val="auto"/>
        </w:rPr>
      </w:pPr>
      <w:r>
        <w:rPr>
          <w:b/>
          <w:bCs/>
          <w:color w:val="auto"/>
        </w:rPr>
        <w:t>图 2：训练学习曲线</w:t>
      </w:r>
    </w:p>
    <w:p w14:paraId="28E5D993">
      <w:pPr>
        <w:pStyle w:val="35"/>
        <w:rPr>
          <w:color w:val="auto"/>
        </w:rPr>
      </w:pPr>
      <w:r>
        <w:rPr>
          <w:color w:val="auto"/>
        </w:rPr>
        <w:drawing>
          <wp:inline distT="0" distB="0" distL="114300" distR="114300">
            <wp:extent cx="5334000" cy="4738370"/>
            <wp:effectExtent l="0" t="0" r="0" b="0"/>
            <wp:docPr id="3" name="Picture" descr="训练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训练曲线"/>
                    <pic:cNvPicPr>
                      <a:picLocks noChangeAspect="1" noChangeArrowheads="1"/>
                    </pic:cNvPicPr>
                  </pic:nvPicPr>
                  <pic:blipFill>
                    <a:blip r:embed="rId7"/>
                    <a:stretch>
                      <a:fillRect/>
                    </a:stretch>
                  </pic:blipFill>
                  <pic:spPr>
                    <a:xfrm>
                      <a:off x="0" y="0"/>
                      <a:ext cx="5334000" cy="4738456"/>
                    </a:xfrm>
                    <a:prstGeom prst="rect">
                      <a:avLst/>
                    </a:prstGeom>
                    <a:noFill/>
                    <a:ln w="9525">
                      <a:noFill/>
                    </a:ln>
                  </pic:spPr>
                </pic:pic>
              </a:graphicData>
            </a:graphic>
          </wp:inline>
        </w:drawing>
      </w:r>
    </w:p>
    <w:p w14:paraId="2E06E32D">
      <w:pPr>
        <w:pStyle w:val="3"/>
        <w:rPr>
          <w:rFonts w:hint="default"/>
          <w:b/>
          <w:bCs/>
          <w:color w:val="auto"/>
          <w:lang w:val="en-US" w:eastAsia="zh-CN"/>
        </w:rPr>
      </w:pPr>
      <w:r>
        <w:rPr>
          <w:rFonts w:hint="eastAsia"/>
          <w:b/>
          <w:bCs/>
          <w:color w:val="auto"/>
          <w:lang w:val="en-US" w:eastAsia="zh-CN"/>
        </w:rPr>
        <w:t>图3 底层控制器制动策略（导师指出有问题，速度波动太大）</w:t>
      </w:r>
    </w:p>
    <w:p w14:paraId="5414349D">
      <w:pPr>
        <w:pStyle w:val="33"/>
        <w:rPr>
          <w:color w:val="auto"/>
        </w:rPr>
      </w:pPr>
      <w:r>
        <w:drawing>
          <wp:inline distT="0" distB="0" distL="114300" distR="114300">
            <wp:extent cx="5067935" cy="5045710"/>
            <wp:effectExtent l="0" t="0" r="18415" b="2540"/>
            <wp:docPr id="11" name="图片 10" descr="图3-朔黄线循环制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图3-朔黄线循环制动"/>
                    <pic:cNvPicPr>
                      <a:picLocks noChangeAspect="1"/>
                    </pic:cNvPicPr>
                  </pic:nvPicPr>
                  <pic:blipFill>
                    <a:blip r:embed="rId8"/>
                    <a:stretch>
                      <a:fillRect/>
                    </a:stretch>
                  </pic:blipFill>
                  <pic:spPr>
                    <a:xfrm>
                      <a:off x="0" y="0"/>
                      <a:ext cx="5067935" cy="5045710"/>
                    </a:xfrm>
                    <a:prstGeom prst="rect">
                      <a:avLst/>
                    </a:prstGeom>
                  </pic:spPr>
                </pic:pic>
              </a:graphicData>
            </a:graphic>
          </wp:inline>
        </w:drawing>
      </w:r>
    </w:p>
    <w:bookmarkEnd w:id="1"/>
    <w:p w14:paraId="7713B0B6">
      <w:pPr>
        <w:pStyle w:val="4"/>
        <w:rPr>
          <w:color w:val="auto"/>
        </w:rPr>
      </w:pPr>
      <w:bookmarkStart w:id="2" w:name="二给学姐的五个问题"/>
      <w:r>
        <w:rPr>
          <w:color w:val="auto"/>
        </w:rPr>
        <w:t>二、给学姐的五个问题</w:t>
      </w:r>
    </w:p>
    <w:p w14:paraId="18C4DACB">
      <w:pPr>
        <w:pStyle w:val="24"/>
        <w:rPr>
          <w:color w:val="auto"/>
        </w:rPr>
      </w:pPr>
      <w:r>
        <w:rPr>
          <w:b/>
          <w:bCs/>
          <w:color w:val="auto"/>
        </w:rPr>
        <w:t>1. 怎么读论文</w:t>
      </w:r>
    </w:p>
    <w:p w14:paraId="6D82C7F6">
      <w:pPr>
        <w:pStyle w:val="3"/>
        <w:ind w:firstLine="720" w:firstLineChars="0"/>
        <w:rPr>
          <w:color w:val="auto"/>
        </w:rPr>
      </w:pPr>
      <w:r>
        <w:rPr>
          <w:color w:val="auto"/>
        </w:rPr>
        <w:t>我现在的目标是每篇文章能用五个问题读完：a. 目前的工作有什么意义，背景上有哪些难点；b. 针对这些难点，别人做了什么；c. 有什么不足；d. 我们针对不足做了什么改进；e. 取得了什么效果。想请教：这五个问题分别该去论文的哪个部分找、怎么判断找得对不对；关键词怎么搜（英文中文）；时间有限的时候，方法和实验哪部分值得精读、哪部分可以略读。</w:t>
      </w:r>
    </w:p>
    <w:p w14:paraId="4B178F28">
      <w:pPr>
        <w:pStyle w:val="3"/>
        <w:rPr>
          <w:color w:val="auto"/>
        </w:rPr>
      </w:pPr>
      <w:r>
        <w:rPr>
          <w:b/>
          <w:bCs/>
          <w:color w:val="auto"/>
        </w:rPr>
        <w:t>2. 物理仿真器</w:t>
      </w:r>
    </w:p>
    <w:p w14:paraId="156115F2">
      <w:pPr>
        <w:pStyle w:val="3"/>
        <w:rPr>
          <w:color w:val="auto"/>
        </w:rPr>
      </w:pPr>
      <w:r>
        <w:rPr>
          <w:color w:val="auto"/>
        </w:rPr>
        <w:t>仿真器是自己写的多体纵向动力学模型，建模方法如下，想直接请你帮我们看看车钩部分哪里有问题：</w:t>
      </w:r>
    </w:p>
    <w:p w14:paraId="0777CC90">
      <w:pPr>
        <w:spacing w:before="180" w:after="180"/>
        <w:rPr>
          <w:rFonts w:asciiTheme="minorHAnsi" w:hAnsiTheme="minorHAnsi" w:eastAsiaTheme="minorHAnsi" w:cstheme="minorBidi"/>
          <w:color w:val="auto"/>
          <w:sz w:val="24"/>
          <w:szCs w:val="24"/>
          <w:lang w:val="en-US" w:eastAsia="en-US" w:bidi="ar-SA"/>
        </w:rPr>
      </w:pPr>
      <w:r>
        <w:rPr>
          <w:rFonts w:hint="default" w:asciiTheme="minorHAnsi" w:hAnsiTheme="minorHAnsi" w:eastAsiaTheme="minorHAnsi" w:cstheme="minorBidi"/>
          <w:color w:val="auto"/>
          <w:sz w:val="24"/>
          <w:szCs w:val="24"/>
          <w:lang w:val="en-US" w:eastAsia="zh-CN" w:bidi="ar-SA"/>
        </w:rPr>
        <w:t>每列 96 个质点（1 机车 + 94 货车 + 1 机车，即 1+1 编组，约一万吨），群组共 3 列；用 Newmark-β 积分，外层步长 0.1 s，内部强制拆 ≤0.01 s 子步；坡度沿 53 km 剖面逐点取。</w:t>
      </w:r>
    </w:p>
    <w:p w14:paraId="59DF9739">
      <w:pPr>
        <w:pStyle w:val="25"/>
        <w:numPr>
          <w:numId w:val="0"/>
        </w:numPr>
        <w:rPr>
          <w:color w:val="auto"/>
        </w:rPr>
      </w:pPr>
      <w:r>
        <w:rPr>
          <w:color w:val="auto"/>
        </w:rPr>
        <w:t>车钩用 MT-2 缓冲器模型：力 = 接触项·(预压 + 摩擦) + 刚度项 + 限位项，具体是</w:t>
      </w:r>
    </w:p>
    <w:p w14:paraId="622085EC">
      <w:pPr>
        <w:pStyle w:val="24"/>
        <w:rPr>
          <w:color w:val="auto"/>
        </w:rPr>
      </w:pPr>
      <m:oMathPara>
        <m:oMathParaPr>
          <m:jc m:val="center"/>
        </m:oMathParaPr>
        <m:oMath>
          <m:r>
            <m:rPr/>
            <w:rPr>
              <w:color w:val="auto"/>
            </w:rPr>
            <m:t>F</m:t>
          </m:r>
          <m:r>
            <m:rPr>
              <m:sty m:val="p"/>
            </m:rPr>
            <w:rPr>
              <w:color w:val="auto"/>
            </w:rPr>
            <m:t>=contact⋅(</m:t>
          </m:r>
          <m:sSub>
            <m:sSubPr>
              <m:ctrlPr>
                <w:rPr>
                  <w:color w:val="auto"/>
                </w:rPr>
              </m:ctrlPr>
            </m:sSubPr>
            <m:e>
              <m:r>
                <m:rPr/>
                <w:rPr>
                  <w:color w:val="auto"/>
                </w:rPr>
                <m:t>F</m:t>
              </m:r>
              <m:ctrlPr>
                <w:rPr>
                  <w:color w:val="auto"/>
                </w:rPr>
              </m:ctrlPr>
            </m:e>
            <m:sub>
              <m:r>
                <m:rPr/>
                <w:rPr>
                  <w:color w:val="auto"/>
                </w:rPr>
                <m:t>0</m:t>
              </m:r>
              <m:ctrlPr>
                <w:rPr>
                  <w:color w:val="auto"/>
                </w:rPr>
              </m:ctrlPr>
            </m:sub>
          </m:sSub>
          <m:r>
            <m:rPr>
              <m:sty m:val="p"/>
            </m:rPr>
            <w:rPr>
              <w:color w:val="auto"/>
            </w:rPr>
            <m:t>+fric)+</m:t>
          </m:r>
          <m:sSub>
            <m:sSubPr>
              <m:ctrlPr>
                <w:rPr>
                  <w:color w:val="auto"/>
                </w:rPr>
              </m:ctrlPr>
            </m:sSubPr>
            <m:e>
              <m:r>
                <m:rPr/>
                <w:rPr>
                  <w:color w:val="auto"/>
                </w:rPr>
                <m:t>k</m:t>
              </m:r>
              <m:ctrlPr>
                <w:rPr>
                  <w:color w:val="auto"/>
                </w:rPr>
              </m:ctrlPr>
            </m:e>
            <m:sub>
              <m:r>
                <m:rPr>
                  <m:sty m:val="p"/>
                </m:rPr>
                <w:rPr>
                  <w:color w:val="auto"/>
                </w:rPr>
                <m:t>eff</m:t>
              </m:r>
              <m:ctrlPr>
                <w:rPr>
                  <w:color w:val="auto"/>
                </w:rPr>
              </m:ctrlPr>
            </m:sub>
          </m:sSub>
          <m:r>
            <m:rPr/>
            <w:rPr>
              <w:color w:val="auto"/>
            </w:rPr>
            <m:t> </m:t>
          </m:r>
          <m:sSub>
            <m:sSubPr>
              <m:ctrlPr>
                <w:rPr>
                  <w:color w:val="auto"/>
                </w:rPr>
              </m:ctrlPr>
            </m:sSubPr>
            <m:e>
              <m:r>
                <m:rPr/>
                <w:rPr>
                  <w:color w:val="auto"/>
                </w:rPr>
                <m:t>x</m:t>
              </m:r>
              <m:ctrlPr>
                <w:rPr>
                  <w:color w:val="auto"/>
                </w:rPr>
              </m:ctrlPr>
            </m:e>
            <m:sub>
              <m:r>
                <m:rPr>
                  <m:sty m:val="p"/>
                </m:rPr>
                <w:rPr>
                  <w:color w:val="auto"/>
                </w:rPr>
                <m:t>el</m:t>
              </m:r>
              <m:ctrlPr>
                <w:rPr>
                  <w:color w:val="auto"/>
                </w:rPr>
              </m:ctrlPr>
            </m:sub>
          </m:sSub>
          <m:r>
            <m:rPr>
              <m:sty m:val="p"/>
            </m:rPr>
            <w:rPr>
              <w:color w:val="auto"/>
            </w:rPr>
            <m:t>+rigid</m:t>
          </m:r>
        </m:oMath>
      </m:oMathPara>
    </w:p>
    <w:p w14:paraId="1199DECB">
      <w:pPr>
        <w:pStyle w:val="24"/>
        <w:rPr>
          <w:color w:val="auto"/>
        </w:rPr>
      </w:pPr>
      <w:r>
        <w:rPr>
          <w:color w:val="auto"/>
        </w:rPr>
        <w:t>其中摩擦幅值</w:t>
      </w:r>
      <w:r>
        <w:rPr>
          <w:rFonts w:hint="eastAsia" w:eastAsia="宋体"/>
          <w:color w:val="auto"/>
          <w:lang w:val="en-US" w:eastAsia="zh-CN"/>
        </w:rPr>
        <w:t>采用</w:t>
      </w:r>
      <w:r>
        <w:rPr>
          <w:color w:val="auto"/>
        </w:rPr>
        <w:t xml:space="preserve"> Stribeck（</w:t>
      </w:r>
      <m:oMath>
        <m:sSub>
          <m:sSubPr>
            <m:ctrlPr>
              <w:rPr>
                <w:color w:val="auto"/>
              </w:rPr>
            </m:ctrlPr>
          </m:sSubPr>
          <m:e>
            <m:r>
              <m:rPr/>
              <w:rPr>
                <w:color w:val="auto"/>
              </w:rPr>
              <m:t>μ</m:t>
            </m:r>
            <m:ctrlPr>
              <w:rPr>
                <w:color w:val="auto"/>
              </w:rPr>
            </m:ctrlPr>
          </m:e>
          <m:sub>
            <m:r>
              <m:rPr/>
              <w:rPr>
                <w:color w:val="auto"/>
              </w:rPr>
              <m:t>d</m:t>
            </m:r>
            <m:ctrlPr>
              <w:rPr>
                <w:color w:val="auto"/>
              </w:rPr>
            </m:ctrlPr>
          </m:sub>
        </m:sSub>
        <m:sSub>
          <m:sSubPr>
            <m:ctrlPr>
              <w:rPr>
                <w:color w:val="auto"/>
              </w:rPr>
            </m:ctrlPr>
          </m:sSubPr>
          <m:e>
            <m:r>
              <m:rPr/>
              <w:rPr>
                <w:color w:val="auto"/>
              </w:rPr>
              <m:t>F</m:t>
            </m:r>
            <m:ctrlPr>
              <w:rPr>
                <w:color w:val="auto"/>
              </w:rPr>
            </m:ctrlPr>
          </m:e>
          <m:sub>
            <m:r>
              <m:rPr/>
              <w:rPr>
                <w:color w:val="auto"/>
              </w:rPr>
              <m:t>N</m:t>
            </m:r>
            <m:ctrlPr>
              <w:rPr>
                <w:color w:val="auto"/>
              </w:rPr>
            </m:ctrlPr>
          </m:sub>
        </m:sSub>
        <m:r>
          <m:rPr>
            <m:sty m:val="p"/>
          </m:rPr>
          <w:rPr>
            <w:color w:val="auto"/>
          </w:rPr>
          <m:t>=</m:t>
        </m:r>
        <m:r>
          <m:rPr/>
          <w:rPr>
            <w:color w:val="auto"/>
          </w:rPr>
          <m:t>500</m:t>
        </m:r>
      </m:oMath>
      <w:r>
        <w:rPr>
          <w:color w:val="auto"/>
        </w:rPr>
        <w:t xml:space="preserve"> kN、</w:t>
      </w:r>
      <m:oMath>
        <m:sSub>
          <m:sSubPr>
            <m:ctrlPr>
              <w:rPr>
                <w:color w:val="auto"/>
              </w:rPr>
            </m:ctrlPr>
          </m:sSubPr>
          <m:e>
            <m:r>
              <m:rPr/>
              <w:rPr>
                <w:color w:val="auto"/>
              </w:rPr>
              <m:t>μ</m:t>
            </m:r>
            <m:ctrlPr>
              <w:rPr>
                <w:color w:val="auto"/>
              </w:rPr>
            </m:ctrlPr>
          </m:e>
          <m:sub>
            <m:r>
              <m:rPr/>
              <w:rPr>
                <w:color w:val="auto"/>
              </w:rPr>
              <m:t>s</m:t>
            </m:r>
            <m:ctrlPr>
              <w:rPr>
                <w:color w:val="auto"/>
              </w:rPr>
            </m:ctrlPr>
          </m:sub>
        </m:sSub>
        <m:sSub>
          <m:sSubPr>
            <m:ctrlPr>
              <w:rPr>
                <w:color w:val="auto"/>
              </w:rPr>
            </m:ctrlPr>
          </m:sSubPr>
          <m:e>
            <m:r>
              <m:rPr/>
              <w:rPr>
                <w:color w:val="auto"/>
              </w:rPr>
              <m:t>F</m:t>
            </m:r>
            <m:ctrlPr>
              <w:rPr>
                <w:color w:val="auto"/>
              </w:rPr>
            </m:ctrlPr>
          </m:e>
          <m:sub>
            <m:r>
              <m:rPr/>
              <w:rPr>
                <w:color w:val="auto"/>
              </w:rPr>
              <m:t>N</m:t>
            </m:r>
            <m:ctrlPr>
              <w:rPr>
                <w:color w:val="auto"/>
              </w:rPr>
            </m:ctrlPr>
          </m:sub>
        </m:sSub>
        <m:r>
          <m:rPr>
            <m:sty m:val="p"/>
          </m:rPr>
          <w:rPr>
            <w:color w:val="auto"/>
          </w:rPr>
          <m:t>=</m:t>
        </m:r>
        <m:r>
          <m:rPr/>
          <w:rPr>
            <w:color w:val="auto"/>
          </w:rPr>
          <m:t>750</m:t>
        </m:r>
      </m:oMath>
      <w:r>
        <w:rPr>
          <w:color w:val="auto"/>
        </w:rPr>
        <w:t xml:space="preserve"> kN、</w:t>
      </w:r>
      <m:oMath>
        <m:sSub>
          <m:sSubPr>
            <m:ctrlPr>
              <w:rPr>
                <w:color w:val="auto"/>
              </w:rPr>
            </m:ctrlPr>
          </m:sSubPr>
          <m:e>
            <m:r>
              <m:rPr/>
              <w:rPr>
                <w:color w:val="auto"/>
              </w:rPr>
              <m:t>v</m:t>
            </m:r>
            <m:ctrlPr>
              <w:rPr>
                <w:color w:val="auto"/>
              </w:rPr>
            </m:ctrlPr>
          </m:e>
          <m:sub>
            <m:r>
              <m:rPr/>
              <w:rPr>
                <w:color w:val="auto"/>
              </w:rPr>
              <m:t>er</m:t>
            </m:r>
            <m:ctrlPr>
              <w:rPr>
                <w:color w:val="auto"/>
              </w:rPr>
            </m:ctrlPr>
          </m:sub>
        </m:sSub>
        <m:r>
          <m:rPr>
            <m:sty m:val="p"/>
          </m:rPr>
          <w:rPr>
            <w:color w:val="auto"/>
          </w:rPr>
          <m:t>=</m:t>
        </m:r>
        <m:r>
          <m:rPr/>
          <w:rPr>
            <w:color w:val="auto"/>
          </w:rPr>
          <m:t>0.2</m:t>
        </m:r>
      </m:oMath>
      <w:r>
        <w:rPr>
          <w:color w:val="auto"/>
        </w:rPr>
        <w:t xml:space="preserve"> m/s），方向平滑 </w:t>
      </w:r>
      <m:oMath>
        <m:r>
          <m:rPr>
            <m:sty m:val="p"/>
          </m:rPr>
          <w:rPr>
            <w:color w:val="auto"/>
          </w:rPr>
          <m:t>dir_sm=</m:t>
        </m:r>
        <m:r>
          <m:rPr>
            <m:nor/>
            <m:sty m:val="p"/>
          </m:rPr>
          <w:rPr>
            <w:color w:val="auto"/>
          </w:rPr>
          <m:t>tanh</m:t>
        </m:r>
        <m:r>
          <m:rPr>
            <m:sty m:val="p"/>
          </m:rPr>
          <w:rPr>
            <w:color w:val="auto"/>
          </w:rPr>
          <m:t>(</m:t>
        </m:r>
        <m:sSub>
          <m:sSubPr>
            <m:ctrlPr>
              <w:rPr>
                <w:color w:val="auto"/>
              </w:rPr>
            </m:ctrlPr>
          </m:sSubPr>
          <m:e>
            <m:r>
              <m:rPr/>
              <w:rPr>
                <w:color w:val="auto"/>
              </w:rPr>
              <m:t>s</m:t>
            </m:r>
            <m:ctrlPr>
              <w:rPr>
                <w:color w:val="auto"/>
              </w:rPr>
            </m:ctrlPr>
          </m:e>
          <m:sub>
            <m:r>
              <m:rPr/>
              <w:rPr>
                <w:color w:val="auto"/>
              </w:rPr>
              <m:t>e</m:t>
            </m:r>
            <m:ctrlPr>
              <w:rPr>
                <w:color w:val="auto"/>
              </w:rPr>
            </m:ctrlPr>
          </m:sub>
        </m:sSub>
        <m:r>
          <m:rPr/>
          <w:rPr>
            <w:color w:val="auto"/>
          </w:rPr>
          <m:t> dv</m:t>
        </m:r>
        <m:r>
          <m:rPr>
            <m:sty m:val="p"/>
          </m:rPr>
          <w:rPr>
            <w:color w:val="auto"/>
          </w:rPr>
          <m:t>/</m:t>
        </m:r>
        <m:r>
          <m:rPr/>
          <w:rPr>
            <w:color w:val="auto"/>
          </w:rPr>
          <m:t>0.05</m:t>
        </m:r>
        <m:r>
          <m:rPr>
            <m:sty m:val="p"/>
          </m:rPr>
          <w:rPr>
            <w:color w:val="auto"/>
          </w:rPr>
          <m:t>)</m:t>
        </m:r>
      </m:oMath>
      <w:r>
        <w:rPr>
          <w:color w:val="auto"/>
        </w:rPr>
        <w:t xml:space="preserve">，刚度 </w:t>
      </w:r>
      <m:oMath>
        <m:r>
          <m:rPr/>
          <w:rPr>
            <w:color w:val="auto"/>
          </w:rPr>
          <m:t>k</m:t>
        </m:r>
        <m:r>
          <m:rPr>
            <m:sty m:val="p"/>
          </m:rPr>
          <w:rPr>
            <w:color w:val="auto"/>
          </w:rPr>
          <m:t>=</m:t>
        </m:r>
        <m:r>
          <m:rPr/>
          <w:rPr>
            <w:color w:val="auto"/>
          </w:rPr>
          <m:t>1.89</m:t>
        </m:r>
        <m:r>
          <m:rPr>
            <m:sty m:val="p"/>
          </m:rPr>
          <w:rPr>
            <w:color w:val="auto"/>
          </w:rPr>
          <m:t>×</m:t>
        </m:r>
        <m:sSup>
          <m:sSupPr>
            <m:ctrlPr>
              <w:rPr>
                <w:color w:val="auto"/>
              </w:rPr>
            </m:ctrlPr>
          </m:sSupPr>
          <m:e>
            <m:r>
              <m:rPr/>
              <w:rPr>
                <w:color w:val="auto"/>
              </w:rPr>
              <m:t>10</m:t>
            </m:r>
            <m:ctrlPr>
              <w:rPr>
                <w:color w:val="auto"/>
              </w:rPr>
            </m:ctrlPr>
          </m:e>
          <m:sup>
            <m:r>
              <m:rPr/>
              <w:rPr>
                <w:color w:val="auto"/>
              </w:rPr>
              <m:t>7</m:t>
            </m:r>
            <m:ctrlPr>
              <w:rPr>
                <w:color w:val="auto"/>
              </w:rPr>
            </m:ctrlPr>
          </m:sup>
        </m:sSup>
      </m:oMath>
      <w:r>
        <w:rPr>
          <w:color w:val="auto"/>
        </w:rPr>
        <w:t xml:space="preserve"> N/m，行程 83 mm，限位刚度 </w:t>
      </w:r>
      <m:oMath>
        <m:r>
          <m:rPr/>
          <w:rPr>
            <w:color w:val="auto"/>
          </w:rPr>
          <m:t>5</m:t>
        </m:r>
        <m:r>
          <m:rPr>
            <m:sty m:val="p"/>
          </m:rPr>
          <w:rPr>
            <w:color w:val="auto"/>
          </w:rPr>
          <m:t>×</m:t>
        </m:r>
        <m:sSup>
          <m:sSupPr>
            <m:ctrlPr>
              <w:rPr>
                <w:color w:val="auto"/>
              </w:rPr>
            </m:ctrlPr>
          </m:sSupPr>
          <m:e>
            <m:r>
              <m:rPr/>
              <w:rPr>
                <w:color w:val="auto"/>
              </w:rPr>
              <m:t>10</m:t>
            </m:r>
            <m:ctrlPr>
              <w:rPr>
                <w:color w:val="auto"/>
              </w:rPr>
            </m:ctrlPr>
          </m:e>
          <m:sup>
            <m:r>
              <m:rPr/>
              <w:rPr>
                <w:color w:val="auto"/>
              </w:rPr>
              <m:t>7</m:t>
            </m:r>
            <m:ctrlPr>
              <w:rPr>
                <w:color w:val="auto"/>
              </w:rPr>
            </m:ctrlPr>
          </m:sup>
        </m:sSup>
      </m:oMath>
      <w:r>
        <w:rPr>
          <w:color w:val="auto"/>
        </w:rPr>
        <w:t xml:space="preserve"> N/m。</w:t>
      </w:r>
    </w:p>
    <w:p w14:paraId="172D6649">
      <w:pPr>
        <w:pStyle w:val="25"/>
        <w:numPr>
          <w:ilvl w:val="0"/>
          <w:numId w:val="2"/>
        </w:numPr>
        <w:rPr>
          <w:color w:val="auto"/>
        </w:rPr>
      </w:pPr>
      <w:r>
        <w:rPr>
          <w:color w:val="auto"/>
        </w:rPr>
        <w:t>文献参照（于宗泽2025 式(1)(2)）：</w:t>
      </w:r>
    </w:p>
    <w:p w14:paraId="07AEC52E">
      <w:pPr>
        <w:pStyle w:val="24"/>
        <w:rPr>
          <w:color w:val="auto"/>
        </w:rPr>
      </w:pPr>
      <m:oMathPara>
        <m:oMathParaPr>
          <m:jc m:val="center"/>
        </m:oMathParaPr>
        <m:oMath>
          <m:r>
            <m:rPr/>
            <w:rPr>
              <w:color w:val="auto"/>
            </w:rPr>
            <m:t>F</m:t>
          </m:r>
          <m:r>
            <m:rPr>
              <m:sty m:val="p"/>
            </m:rPr>
            <w:rPr>
              <w:color w:val="auto"/>
            </w:rPr>
            <m:t>=</m:t>
          </m:r>
          <m:sSub>
            <m:sSubPr>
              <m:ctrlPr>
                <w:rPr>
                  <w:color w:val="auto"/>
                </w:rPr>
              </m:ctrlPr>
            </m:sSubPr>
            <m:e>
              <m:r>
                <m:rPr/>
                <w:rPr>
                  <w:color w:val="auto"/>
                </w:rPr>
                <m:t>F</m:t>
              </m:r>
              <m:ctrlPr>
                <w:rPr>
                  <w:color w:val="auto"/>
                </w:rPr>
              </m:ctrlPr>
            </m:e>
            <m:sub>
              <m:r>
                <m:rPr/>
                <w:rPr>
                  <w:color w:val="auto"/>
                </w:rPr>
                <m:t>0</m:t>
              </m:r>
              <m:ctrlPr>
                <w:rPr>
                  <w:color w:val="auto"/>
                </w:rPr>
              </m:ctrlPr>
            </m:sub>
          </m:sSub>
          <m:r>
            <m:rPr>
              <m:sty m:val="p"/>
            </m:rPr>
            <w:rPr>
              <w:color w:val="auto"/>
            </w:rPr>
            <m:t>+</m:t>
          </m:r>
          <m:r>
            <m:rPr/>
            <w:rPr>
              <w:color w:val="auto"/>
            </w:rPr>
            <m:t>kx</m:t>
          </m:r>
          <m:r>
            <m:rPr>
              <m:sty m:val="p"/>
            </m:rPr>
            <w:rPr>
              <w:color w:val="auto"/>
            </w:rPr>
            <m:t>+sgn(</m:t>
          </m:r>
          <m:r>
            <m:rPr/>
            <w:rPr>
              <w:color w:val="auto"/>
            </w:rPr>
            <m:t>v</m:t>
          </m:r>
          <m:r>
            <m:rPr>
              <m:sty m:val="p"/>
            </m:rPr>
            <w:rPr>
              <w:color w:val="auto"/>
            </w:rPr>
            <m:t>)</m:t>
          </m:r>
          <m:r>
            <m:rPr/>
            <w:rPr>
              <w:color w:val="auto"/>
            </w:rPr>
            <m:t> μ</m:t>
          </m:r>
          <m:r>
            <m:rPr>
              <m:sty m:val="p"/>
            </m:rPr>
            <w:rPr>
              <w:color w:val="auto"/>
            </w:rPr>
            <m:t>(|</m:t>
          </m:r>
          <m:r>
            <m:rPr/>
            <w:rPr>
              <w:color w:val="auto"/>
            </w:rPr>
            <m:t>v</m:t>
          </m:r>
          <m:r>
            <m:rPr>
              <m:sty m:val="p"/>
            </m:rPr>
            <w:rPr>
              <w:color w:val="auto"/>
            </w:rPr>
            <m:t>|)</m:t>
          </m:r>
          <m:r>
            <m:rPr/>
            <w:rPr>
              <w:color w:val="auto"/>
            </w:rPr>
            <m:t> </m:t>
          </m:r>
          <m:sSub>
            <m:sSubPr>
              <m:ctrlPr>
                <w:rPr>
                  <w:color w:val="auto"/>
                </w:rPr>
              </m:ctrlPr>
            </m:sSubPr>
            <m:e>
              <m:r>
                <m:rPr/>
                <w:rPr>
                  <w:color w:val="auto"/>
                </w:rPr>
                <m:t>F</m:t>
              </m:r>
              <m:ctrlPr>
                <w:rPr>
                  <w:color w:val="auto"/>
                </w:rPr>
              </m:ctrlPr>
            </m:e>
            <m:sub>
              <m:r>
                <m:rPr/>
                <w:rPr>
                  <w:color w:val="auto"/>
                </w:rPr>
                <m:t>N</m:t>
              </m:r>
              <m:ctrlPr>
                <w:rPr>
                  <w:color w:val="auto"/>
                </w:rPr>
              </m:ctrlPr>
            </m:sub>
          </m:sSub>
        </m:oMath>
      </m:oMathPara>
    </w:p>
    <w:p w14:paraId="787BF5A9">
      <w:pPr>
        <w:pStyle w:val="24"/>
        <w:rPr>
          <w:color w:val="auto"/>
        </w:rPr>
      </w:pPr>
      <m:oMath>
        <m:r>
          <m:rPr>
            <m:sty m:val="p"/>
          </m:rPr>
          <w:rPr>
            <w:color w:val="auto"/>
          </w:rPr>
          <m:t>sgn(</m:t>
        </m:r>
        <m:r>
          <m:rPr/>
          <w:rPr>
            <w:color w:val="auto"/>
          </w:rPr>
          <m:t>v</m:t>
        </m:r>
        <m:r>
          <m:rPr>
            <m:sty m:val="p"/>
          </m:rPr>
          <w:rPr>
            <w:color w:val="auto"/>
          </w:rPr>
          <m:t>)</m:t>
        </m:r>
      </m:oMath>
      <w:r>
        <w:rPr>
          <w:color w:val="auto"/>
        </w:rPr>
        <w:t xml:space="preserve"> 加载 = +1、静止 = 0、卸载 = −1，</w:t>
      </w:r>
      <m:oMath>
        <m:r>
          <m:rPr/>
          <w:rPr>
            <w:color w:val="auto"/>
          </w:rPr>
          <m:t>μ</m:t>
        </m:r>
      </m:oMath>
      <w:r>
        <w:rPr>
          <w:color w:val="auto"/>
        </w:rPr>
        <w:t xml:space="preserve"> 同样走 Stribeck 曲线。</w:t>
      </w:r>
    </w:p>
    <w:p w14:paraId="23941CFE">
      <w:pPr>
        <w:pStyle w:val="3"/>
        <w:rPr>
          <w:rFonts w:hint="eastAsia" w:eastAsia="宋体"/>
          <w:color w:val="auto"/>
          <w:lang w:val="en-US" w:eastAsia="zh-CN"/>
        </w:rPr>
      </w:pPr>
      <w:r>
        <w:rPr>
          <w:color w:val="auto"/>
        </w:rPr>
        <w:t>想请你</w:t>
      </w:r>
      <w:r>
        <w:rPr>
          <w:rFonts w:hint="eastAsia" w:eastAsia="宋体"/>
          <w:color w:val="auto"/>
          <w:lang w:val="en-US" w:eastAsia="zh-CN"/>
        </w:rPr>
        <w:t>帮忙</w:t>
      </w:r>
      <w:r>
        <w:rPr>
          <w:color w:val="auto"/>
        </w:rPr>
        <w:t>看看装载/缓释曲线：</w:t>
      </w:r>
      <w:r>
        <w:rPr>
          <w:rFonts w:hint="eastAsia" w:eastAsia="宋体"/>
          <w:color w:val="auto"/>
          <w:lang w:eastAsia="zh-CN"/>
        </w:rPr>
        <w:t>（</w:t>
      </w:r>
      <w:r>
        <w:rPr>
          <w:rFonts w:hint="eastAsia" w:eastAsia="宋体"/>
          <w:color w:val="auto"/>
          <w:lang w:val="en-US" w:eastAsia="zh-CN"/>
        </w:rPr>
        <w:t>AI判断）</w:t>
      </w:r>
      <w:r>
        <w:rPr>
          <w:color w:val="auto"/>
        </w:rPr>
        <w:t>我们目前算出来加载末段阻抗比文献公式低约 600 kN，迟滞环耗能只有人家的 1/5，怀疑是方向平滑项在低速时把摩擦抹掉了，但想听外部判断。</w:t>
      </w:r>
      <w:r>
        <w:rPr>
          <w:color w:val="auto"/>
        </w:rPr>
        <w:br w:type="textWrapping"/>
      </w:r>
      <w:r>
        <w:rPr>
          <w:color w:val="auto"/>
        </w:rPr>
        <w:br w:type="textWrapping"/>
      </w:r>
      <w:r>
        <w:rPr>
          <w:rFonts w:hint="eastAsia" w:eastAsia="宋体"/>
          <w:color w:val="auto"/>
          <w:lang w:val="en-US" w:eastAsia="zh-CN"/>
        </w:rPr>
        <w:t>或者可不可以指导一下验证物理仿真层的思路</w:t>
      </w:r>
    </w:p>
    <w:p w14:paraId="147518BC">
      <w:pPr>
        <w:pStyle w:val="3"/>
        <w:rPr>
          <w:color w:val="auto"/>
        </w:rPr>
      </w:pPr>
      <w:r>
        <w:rPr>
          <w:b/>
          <w:bCs/>
          <w:color w:val="auto"/>
        </w:rPr>
        <w:t>图 3：我们模型的装载/缓释曲线与文献公式对照</w:t>
      </w:r>
    </w:p>
    <w:p w14:paraId="53AD8A2A">
      <w:pPr>
        <w:pStyle w:val="35"/>
        <w:rPr>
          <w:color w:val="auto"/>
        </w:rPr>
      </w:pPr>
      <w:r>
        <w:rPr>
          <w:color w:val="auto"/>
        </w:rPr>
        <w:drawing>
          <wp:inline distT="0" distB="0" distL="114300" distR="114300">
            <wp:extent cx="5334000" cy="3618865"/>
            <wp:effectExtent l="0" t="0" r="0" b="0"/>
            <wp:docPr id="4" name="Picture" descr="我们的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我们的曲线"/>
                    <pic:cNvPicPr>
                      <a:picLocks noChangeAspect="1" noChangeArrowheads="1"/>
                    </pic:cNvPicPr>
                  </pic:nvPicPr>
                  <pic:blipFill>
                    <a:blip r:embed="rId9"/>
                    <a:stretch>
                      <a:fillRect/>
                    </a:stretch>
                  </pic:blipFill>
                  <pic:spPr>
                    <a:xfrm>
                      <a:off x="0" y="0"/>
                      <a:ext cx="5334000" cy="3619094"/>
                    </a:xfrm>
                    <a:prstGeom prst="rect">
                      <a:avLst/>
                    </a:prstGeom>
                    <a:noFill/>
                    <a:ln w="9525">
                      <a:noFill/>
                    </a:ln>
                  </pic:spPr>
                </pic:pic>
              </a:graphicData>
            </a:graphic>
          </wp:inline>
        </w:drawing>
      </w:r>
    </w:p>
    <w:p w14:paraId="4CE6B707">
      <w:pPr>
        <w:pStyle w:val="33"/>
        <w:rPr>
          <w:color w:val="auto"/>
        </w:rPr>
      </w:pPr>
      <w:r>
        <w:rPr>
          <w:color w:val="auto"/>
        </w:rPr>
        <w:t>我们的曲线</w:t>
      </w:r>
    </w:p>
    <w:p w14:paraId="20EACAB7">
      <w:pPr>
        <w:pStyle w:val="3"/>
        <w:rPr>
          <w:color w:val="auto"/>
        </w:rPr>
      </w:pPr>
      <w:r>
        <w:rPr>
          <w:b/>
          <w:bCs/>
          <w:color w:val="auto"/>
        </w:rPr>
        <w:t>图 4：文献里的装载/缓释曲线（</w:t>
      </w:r>
      <w:r>
        <w:rPr>
          <w:rFonts w:hint="eastAsia"/>
          <w:b/>
          <w:bCs/>
          <w:color w:val="auto"/>
        </w:rPr>
        <w:t>于宗泽, 魏玉光, 于海龙, 方波, 胡楚璇. 重载列车车钩缓冲装置纵向动力学精细化模型[J]. 中国铁道科学, 2025, 46(2). DOI: 10.3969/j.issn.1001-4632.2025.02.17.</w:t>
      </w:r>
      <w:r>
        <w:rPr>
          <w:b/>
          <w:bCs/>
          <w:color w:val="auto"/>
        </w:rPr>
        <w:t>图7，不同冲击速度下 MT-2 阻抗特性，含试验实测）</w:t>
      </w:r>
    </w:p>
    <w:p w14:paraId="7DA0BC68">
      <w:pPr>
        <w:pStyle w:val="35"/>
        <w:rPr>
          <w:color w:val="auto"/>
        </w:rPr>
      </w:pPr>
      <w:r>
        <w:rPr>
          <w:color w:val="auto"/>
        </w:rPr>
        <w:drawing>
          <wp:inline distT="0" distB="0" distL="114300" distR="114300">
            <wp:extent cx="5334000" cy="7712075"/>
            <wp:effectExtent l="0" t="0" r="0" b="0"/>
            <wp:docPr id="5" name="Picture" descr="文献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文献曲线"/>
                    <pic:cNvPicPr>
                      <a:picLocks noChangeAspect="1" noChangeArrowheads="1"/>
                    </pic:cNvPicPr>
                  </pic:nvPicPr>
                  <pic:blipFill>
                    <a:blip r:embed="rId10"/>
                    <a:stretch>
                      <a:fillRect/>
                    </a:stretch>
                  </pic:blipFill>
                  <pic:spPr>
                    <a:xfrm>
                      <a:off x="0" y="0"/>
                      <a:ext cx="5334000" cy="7712075"/>
                    </a:xfrm>
                    <a:prstGeom prst="rect">
                      <a:avLst/>
                    </a:prstGeom>
                    <a:noFill/>
                    <a:ln w="9525">
                      <a:noFill/>
                    </a:ln>
                  </pic:spPr>
                </pic:pic>
              </a:graphicData>
            </a:graphic>
          </wp:inline>
        </w:drawing>
      </w:r>
    </w:p>
    <w:p w14:paraId="5E2AA78D">
      <w:pPr>
        <w:pStyle w:val="33"/>
        <w:rPr>
          <w:color w:val="auto"/>
        </w:rPr>
      </w:pPr>
      <w:r>
        <w:rPr>
          <w:color w:val="auto"/>
        </w:rPr>
        <w:t>文献曲线</w:t>
      </w:r>
    </w:p>
    <w:p w14:paraId="0CA67096">
      <w:pPr>
        <w:pStyle w:val="3"/>
        <w:rPr>
          <w:color w:val="auto"/>
        </w:rPr>
      </w:pPr>
      <w:r>
        <w:rPr>
          <w:b/>
          <w:bCs/>
          <w:color w:val="auto"/>
        </w:rPr>
        <w:t>3. 如何分工</w:t>
      </w:r>
    </w:p>
    <w:p w14:paraId="22E4813E">
      <w:pPr>
        <w:pStyle w:val="3"/>
        <w:rPr>
          <w:color w:val="auto"/>
        </w:rPr>
      </w:pPr>
      <w:r>
        <w:rPr>
          <w:color w:val="auto"/>
        </w:rPr>
        <w:t>我们项目一共三个人</w:t>
      </w:r>
      <w:r>
        <w:rPr>
          <w:rFonts w:hint="eastAsia" w:eastAsia="宋体"/>
          <w:color w:val="auto"/>
          <w:lang w:eastAsia="zh-CN"/>
        </w:rPr>
        <w:t>，</w:t>
      </w:r>
      <w:r>
        <w:rPr>
          <w:color w:val="auto"/>
        </w:rPr>
        <w:t>怎么分工比较高效；哪些环节应该尽早并行、哪些必须串行；互相之间用什么方式对齐进度比较省事。</w:t>
      </w:r>
    </w:p>
    <w:p w14:paraId="02D7F6C7">
      <w:pPr>
        <w:pStyle w:val="3"/>
        <w:rPr>
          <w:color w:val="auto"/>
        </w:rPr>
      </w:pPr>
      <w:r>
        <w:rPr>
          <w:b/>
          <w:bCs/>
          <w:color w:val="auto"/>
        </w:rPr>
        <w:t>4. 算力问题</w:t>
      </w:r>
    </w:p>
    <w:p w14:paraId="3606196D">
      <w:pPr>
        <w:pStyle w:val="3"/>
        <w:rPr>
          <w:rFonts w:hint="default" w:eastAsia="宋体"/>
          <w:color w:val="auto"/>
          <w:lang w:val="en-US" w:eastAsia="zh-CN"/>
        </w:rPr>
      </w:pPr>
      <w:r>
        <w:rPr>
          <w:color w:val="auto"/>
        </w:rPr>
        <w:t>训练太慢：约 5.8 min/episode，一个种子 1400 episodes 要 4.7 天，5 个种子串行超过 20 天</w:t>
      </w:r>
      <w:r>
        <w:rPr>
          <w:rFonts w:hint="eastAsia" w:eastAsia="宋体"/>
          <w:color w:val="auto"/>
          <w:lang w:eastAsia="zh-CN"/>
        </w:rPr>
        <w:t>。</w:t>
      </w:r>
      <w:r>
        <w:rPr>
          <w:rFonts w:hint="eastAsia" w:eastAsia="宋体"/>
          <w:color w:val="auto"/>
          <w:lang w:val="en-US" w:eastAsia="zh-CN"/>
        </w:rPr>
        <w:t>实验室</w:t>
      </w:r>
      <w:r>
        <w:rPr>
          <w:color w:val="auto"/>
        </w:rPr>
        <w:t>有没有现成的服务器或设备可以拿来跑训练；</w:t>
      </w:r>
      <w:r>
        <w:rPr>
          <w:rFonts w:hint="eastAsia" w:eastAsia="宋体"/>
          <w:color w:val="auto"/>
          <w:lang w:val="en-US" w:eastAsia="zh-CN"/>
        </w:rPr>
        <w:t>目前的瓶颈是在物理层仿真，单个物理步是dt=0.1s，目前没有找到长大下坡+重载列车编队+强化学习+车钩力的文献，不太清楚物理层要简化到什么程度。</w:t>
      </w:r>
    </w:p>
    <w:p w14:paraId="5C209567">
      <w:pPr>
        <w:pStyle w:val="3"/>
        <w:rPr>
          <w:color w:val="auto"/>
        </w:rPr>
      </w:pPr>
      <w:r>
        <w:rPr>
          <w:b/>
          <w:bCs/>
          <w:color w:val="auto"/>
        </w:rPr>
        <w:t>5. 方向</w:t>
      </w:r>
    </w:p>
    <w:p w14:paraId="45FDF49D">
      <w:pPr>
        <w:pStyle w:val="3"/>
        <w:rPr>
          <w:rFonts w:hint="default" w:eastAsia="宋体"/>
          <w:color w:val="auto"/>
          <w:lang w:val="en-US" w:eastAsia="zh-CN"/>
        </w:rPr>
      </w:pPr>
      <w:r>
        <w:rPr>
          <w:color w:val="auto"/>
        </w:rPr>
        <w:t>目前的</w:t>
      </w:r>
      <w:r>
        <w:rPr>
          <w:rFonts w:hint="eastAsia" w:eastAsia="宋体"/>
          <w:color w:val="auto"/>
          <w:lang w:val="en-US" w:eastAsia="zh-CN"/>
        </w:rPr>
        <w:t>核心论点</w:t>
      </w:r>
      <w:r>
        <w:rPr>
          <w:color w:val="auto"/>
        </w:rPr>
        <w:t>是“免重辨识成本”</w:t>
      </w:r>
      <w:r>
        <w:rPr>
          <w:rFonts w:hint="eastAsia" w:eastAsia="宋体"/>
          <w:color w:val="auto"/>
          <w:lang w:eastAsia="zh-CN"/>
        </w:rPr>
        <w:t>，</w:t>
      </w:r>
      <w:r>
        <w:rPr>
          <w:rFonts w:hint="eastAsia" w:eastAsia="宋体"/>
          <w:color w:val="auto"/>
          <w:lang w:val="en-US" w:eastAsia="zh-CN"/>
        </w:rPr>
        <w:t>这个是为了对比MPC硬凑出来的方向，目前看来MPC调优工作量较大，需不需要把这个砍掉，仅保留MARL和本身的换线路、换列车参数的实验</w:t>
      </w:r>
    </w:p>
    <w:p w14:paraId="35162700">
      <w:pPr>
        <w:pStyle w:val="3"/>
        <w:numPr>
          <w:ilvl w:val="0"/>
          <w:numId w:val="3"/>
        </w:numPr>
        <w:rPr>
          <w:rFonts w:hint="default"/>
          <w:b/>
          <w:bCs/>
          <w:color w:val="auto"/>
          <w:lang w:val="en-US" w:eastAsia="zh-CN"/>
        </w:rPr>
      </w:pPr>
      <w:r>
        <w:rPr>
          <w:rFonts w:hint="eastAsia"/>
          <w:b/>
          <w:bCs/>
          <w:color w:val="auto"/>
          <w:lang w:val="en-US" w:eastAsia="zh-CN"/>
        </w:rPr>
        <w:t>会议</w:t>
      </w:r>
    </w:p>
    <w:p w14:paraId="25AEF094">
      <w:pPr>
        <w:pStyle w:val="3"/>
        <w:numPr>
          <w:numId w:val="0"/>
        </w:numPr>
        <w:rPr>
          <w:rFonts w:hint="default" w:eastAsia="宋体"/>
          <w:color w:val="auto"/>
          <w:lang w:val="en-US" w:eastAsia="zh-CN"/>
        </w:rPr>
      </w:pPr>
      <w:r>
        <w:rPr>
          <w:rFonts w:hint="eastAsia" w:eastAsia="宋体"/>
          <w:color w:val="auto"/>
          <w:lang w:val="en-US" w:eastAsia="zh-CN"/>
        </w:rPr>
        <w:t>我们想投可以在2027年6月30日之前可以检索到文章的会议，找到的结果老师说不太合适，想问问学姐有什么意见</w:t>
      </w:r>
      <w:bookmarkStart w:id="3" w:name="_GoBack"/>
      <w:bookmarkEnd w:id="3"/>
    </w:p>
    <w:bookmarkEnd w:id="0"/>
    <w:bookmarkEnd w:id="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B4470"/>
    <w:multiLevelType w:val="singleLevel"/>
    <w:tmpl w:val="B17B4470"/>
    <w:lvl w:ilvl="0" w:tentative="0">
      <w:start w:val="1"/>
      <w:numFmt w:val="decimal"/>
      <w:suff w:val="space"/>
      <w:lvlText w:val="%1."/>
      <w:lvlJc w:val="left"/>
    </w:lvl>
  </w:abstractNum>
  <w:abstractNum w:abstractNumId="1">
    <w:nsid w:val="D863DAE1"/>
    <w:multiLevelType w:val="singleLevel"/>
    <w:tmpl w:val="D863DAE1"/>
    <w:lvl w:ilvl="0" w:tentative="0">
      <w:start w:val="6"/>
      <w:numFmt w:val="decimal"/>
      <w:suff w:val="space"/>
      <w:lvlText w:val="%1."/>
      <w:lvlJc w:val="left"/>
    </w:lvl>
  </w:abstractNum>
  <w:abstractNum w:abstractNumId="2">
    <w:nsid w:val="EA454B4C"/>
    <w:multiLevelType w:val="multilevel"/>
    <w:tmpl w:val="EA454B4C"/>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0ED1E2A"/>
    <w:rsid w:val="012C5FFC"/>
    <w:rsid w:val="03332765"/>
    <w:rsid w:val="048746C3"/>
    <w:rsid w:val="04C626DA"/>
    <w:rsid w:val="05DE03A8"/>
    <w:rsid w:val="06475B39"/>
    <w:rsid w:val="065D35AE"/>
    <w:rsid w:val="06BA0DA5"/>
    <w:rsid w:val="06D953AC"/>
    <w:rsid w:val="08562C20"/>
    <w:rsid w:val="0A6854E5"/>
    <w:rsid w:val="0A883D7E"/>
    <w:rsid w:val="0BE423B4"/>
    <w:rsid w:val="0C044A0F"/>
    <w:rsid w:val="0C5772F0"/>
    <w:rsid w:val="0CBF6A62"/>
    <w:rsid w:val="0E651561"/>
    <w:rsid w:val="0EB560BF"/>
    <w:rsid w:val="0EDD6C59"/>
    <w:rsid w:val="0EFF2622"/>
    <w:rsid w:val="10557E25"/>
    <w:rsid w:val="11C73A67"/>
    <w:rsid w:val="12E038EF"/>
    <w:rsid w:val="1418369A"/>
    <w:rsid w:val="15AE6701"/>
    <w:rsid w:val="1629395A"/>
    <w:rsid w:val="16500A3A"/>
    <w:rsid w:val="16EB6AC0"/>
    <w:rsid w:val="1726591C"/>
    <w:rsid w:val="18003D99"/>
    <w:rsid w:val="1856331E"/>
    <w:rsid w:val="188E687A"/>
    <w:rsid w:val="18B74DA0"/>
    <w:rsid w:val="18DA40DA"/>
    <w:rsid w:val="19022DB5"/>
    <w:rsid w:val="19027327"/>
    <w:rsid w:val="192B46A1"/>
    <w:rsid w:val="198A0064"/>
    <w:rsid w:val="1A5F2FF9"/>
    <w:rsid w:val="1A870FBB"/>
    <w:rsid w:val="1BD17CE3"/>
    <w:rsid w:val="1E493613"/>
    <w:rsid w:val="1EB117A8"/>
    <w:rsid w:val="1EB62A42"/>
    <w:rsid w:val="1EC04EF1"/>
    <w:rsid w:val="1F446C62"/>
    <w:rsid w:val="1FD005D3"/>
    <w:rsid w:val="2063161E"/>
    <w:rsid w:val="20E777AD"/>
    <w:rsid w:val="210146CE"/>
    <w:rsid w:val="21C15436"/>
    <w:rsid w:val="221B1065"/>
    <w:rsid w:val="221F6FC8"/>
    <w:rsid w:val="22520C59"/>
    <w:rsid w:val="22D95C11"/>
    <w:rsid w:val="23A31459"/>
    <w:rsid w:val="2767173F"/>
    <w:rsid w:val="27F877B9"/>
    <w:rsid w:val="28A67F8E"/>
    <w:rsid w:val="290A0E41"/>
    <w:rsid w:val="298A3E0B"/>
    <w:rsid w:val="2AF75C96"/>
    <w:rsid w:val="2B3A7E89"/>
    <w:rsid w:val="2BEF7F55"/>
    <w:rsid w:val="2C484235"/>
    <w:rsid w:val="2C5B2845"/>
    <w:rsid w:val="2C9C2318"/>
    <w:rsid w:val="2D2E1141"/>
    <w:rsid w:val="2D41178B"/>
    <w:rsid w:val="2EA72358"/>
    <w:rsid w:val="2F47090F"/>
    <w:rsid w:val="2FAD05B2"/>
    <w:rsid w:val="2FDD4699"/>
    <w:rsid w:val="30FF6655"/>
    <w:rsid w:val="3103697D"/>
    <w:rsid w:val="31496CF2"/>
    <w:rsid w:val="331F3839"/>
    <w:rsid w:val="34615BAE"/>
    <w:rsid w:val="35404D99"/>
    <w:rsid w:val="356C0464"/>
    <w:rsid w:val="37265173"/>
    <w:rsid w:val="38E73CEA"/>
    <w:rsid w:val="396A6899"/>
    <w:rsid w:val="39A63F9B"/>
    <w:rsid w:val="3A3E06F2"/>
    <w:rsid w:val="3A8B3B10"/>
    <w:rsid w:val="3A9F20E6"/>
    <w:rsid w:val="3B295232"/>
    <w:rsid w:val="3BB51AEC"/>
    <w:rsid w:val="3C034E86"/>
    <w:rsid w:val="3DA02251"/>
    <w:rsid w:val="403125E7"/>
    <w:rsid w:val="41D63B2B"/>
    <w:rsid w:val="4202071A"/>
    <w:rsid w:val="42736F58"/>
    <w:rsid w:val="437A7542"/>
    <w:rsid w:val="44D86915"/>
    <w:rsid w:val="45863B74"/>
    <w:rsid w:val="46EC4B66"/>
    <w:rsid w:val="47127D68"/>
    <w:rsid w:val="47150D60"/>
    <w:rsid w:val="475F394A"/>
    <w:rsid w:val="49425690"/>
    <w:rsid w:val="496C351D"/>
    <w:rsid w:val="4A0155CC"/>
    <w:rsid w:val="4ABF08DE"/>
    <w:rsid w:val="4BC226CA"/>
    <w:rsid w:val="4CAE2CB9"/>
    <w:rsid w:val="4D497768"/>
    <w:rsid w:val="4DBB5508"/>
    <w:rsid w:val="4E6819EB"/>
    <w:rsid w:val="4EB52BF2"/>
    <w:rsid w:val="4F6B219B"/>
    <w:rsid w:val="509B0528"/>
    <w:rsid w:val="51201AE2"/>
    <w:rsid w:val="518C60C3"/>
    <w:rsid w:val="522C2D32"/>
    <w:rsid w:val="523A167B"/>
    <w:rsid w:val="534F55FA"/>
    <w:rsid w:val="53EF7B49"/>
    <w:rsid w:val="5550726F"/>
    <w:rsid w:val="55DB3175"/>
    <w:rsid w:val="57451586"/>
    <w:rsid w:val="590D1600"/>
    <w:rsid w:val="597F6872"/>
    <w:rsid w:val="59AD307A"/>
    <w:rsid w:val="5AA233D8"/>
    <w:rsid w:val="5BA219EB"/>
    <w:rsid w:val="5BD40185"/>
    <w:rsid w:val="5CDF6725"/>
    <w:rsid w:val="5D091080"/>
    <w:rsid w:val="5EDD61AF"/>
    <w:rsid w:val="5EE673AD"/>
    <w:rsid w:val="5F502643"/>
    <w:rsid w:val="61572249"/>
    <w:rsid w:val="61637364"/>
    <w:rsid w:val="625910E3"/>
    <w:rsid w:val="63220635"/>
    <w:rsid w:val="64846651"/>
    <w:rsid w:val="64A94F38"/>
    <w:rsid w:val="64E35953"/>
    <w:rsid w:val="65434BC1"/>
    <w:rsid w:val="670474B7"/>
    <w:rsid w:val="676D3B08"/>
    <w:rsid w:val="687B730F"/>
    <w:rsid w:val="68CB1428"/>
    <w:rsid w:val="69020CEC"/>
    <w:rsid w:val="6B2E5A13"/>
    <w:rsid w:val="6B5A7317"/>
    <w:rsid w:val="6C6D2BF0"/>
    <w:rsid w:val="6CB0199B"/>
    <w:rsid w:val="6D8601D1"/>
    <w:rsid w:val="6DEE4D62"/>
    <w:rsid w:val="6FE900A1"/>
    <w:rsid w:val="701711C1"/>
    <w:rsid w:val="71B02250"/>
    <w:rsid w:val="72DE312E"/>
    <w:rsid w:val="72EE0533"/>
    <w:rsid w:val="732B1E1F"/>
    <w:rsid w:val="73680174"/>
    <w:rsid w:val="744321B9"/>
    <w:rsid w:val="74E64F97"/>
    <w:rsid w:val="766F4706"/>
    <w:rsid w:val="79556A7C"/>
    <w:rsid w:val="7A6B2126"/>
    <w:rsid w:val="7CEE4D2F"/>
    <w:rsid w:val="7E631DD5"/>
    <w:rsid w:val="7E75366D"/>
    <w:rsid w:val="7E7A711F"/>
    <w:rsid w:val="7E855DAD"/>
    <w:rsid w:val="7F005876"/>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0">
    <w:name w:val="Default Paragraph Font"/>
    <w:unhideWhenUsed/>
    <w:qFormat/>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Hyperlink"/>
    <w:basedOn w:val="22"/>
    <w:uiPriority w:val="0"/>
    <w:rPr>
      <w:color w:val="4F81BD" w:themeColor="accent1"/>
    </w:rPr>
  </w:style>
  <w:style w:type="character" w:customStyle="1" w:styleId="22">
    <w:name w:val="Body Text Char"/>
    <w:basedOn w:val="20"/>
    <w:link w:val="3"/>
    <w:qFormat/>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w:basedOn w:val="1"/>
    <w:next w:val="3"/>
    <w:qFormat/>
    <w:uiPriority w:val="0"/>
    <w:pPr>
      <w:keepNext/>
      <w:keepLines/>
      <w:spacing w:before="3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2"/>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2"/>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1265</Words>
  <Characters>1460</Characters>
  <Lines>12</Lines>
  <Paragraphs>8</Paragraphs>
  <TotalTime>3</TotalTime>
  <ScaleCrop>false</ScaleCrop>
  <LinksUpToDate>false</LinksUpToDate>
  <CharactersWithSpaces>1582</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2026-10-11T05:33:00Z</dcterms:created>
  <dc:creator>CH</dc:creator>
  <cp:lastModifiedBy>chano</cp:lastModifiedBy>
  <dcterms:modified xsi:type="dcterms:W3CDTF">2026-10-11T06:46:59Z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eyJoZGlkIjoiMDNkMmUzMDRlYWY2YTA1MDM5MjVkNzgzMTY1MWNiYmMiLCJ1c2VySWQiOiI0NzQ2OTE4ODEifQ==</vt:lpwstr>
  </property>
  <property fmtid="{D5CDD505-2E9C-101B-9397-08002B2CF9AE}" pid="3" name="KSOProductBuildVer">
    <vt:lpwstr>2052-12.1.0.28488</vt:lpwstr>
  </property>
  <property fmtid="{D5CDD505-2E9C-101B-9397-08002B2CF9AE}" pid="4" name="ICV">
    <vt:lpwstr>9FEE567696FE494B9C116EB6F3C2E017_12</vt:lpwstr>
  </property>
</Properties>
</file>