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Reading Guide: Fraser et al. (2025), Fine-Tuning and LLM Safety</w:t>
      </w:r>
    </w:p>
    <w:p>
      <w:pPr/>
      <w:r>
        <w:t xml:space="preserve">Prepared for a CSI 6900 project proposal with Prof. Kathleen Fraser (uOttawa). Links marked † come from my memory of arXiv IDs and were not verified. Check that the title matches before relying on them. All other links come from the paper's own reference list or Prof. Fraser's website.</w:t>
      </w:r>
    </w:p>
    <w:p>
      <w:pPr>
        <w:pStyle w:val="Heading2"/>
      </w:pPr>
      <w:r>
        <w:t xml:space="preserve">1. The core paper at a glance</w:t>
      </w:r>
    </w:p>
    <w:p>
      <w:pPr/>
      <w:r>
        <w:rPr>
          <w:b/>
        </w:rPr>
        <w:t xml:space="preserve">Fine-Tuning Lowers Safety and Disrupts Evaluation Consistency</w:t>
      </w:r>
      <w:r>
        <w:t xml:space="preserve">. Fraser, Dawkins, Nejadgholi, Kiritchenko (NRC Canada). LLMSEC 2025. </w:t>
      </w:r>
      <w:hyperlink r:id="rId3" w:history="1">
        <w:r>
          <w:rPr>
            <w:rStyle w:val="Hyperlink"/>
          </w:rPr>
          <w:t xml:space="preserve">arXiv</w:t>
        </w:r>
      </w:hyperlink>
      <w:r>
        <w:t xml:space="preserve"> | </w:t>
      </w:r>
      <w:hyperlink r:id="rId4" w:history="1">
        <w:r>
          <w:rPr>
            <w:rStyle w:val="Hyperlink"/>
          </w:rPr>
          <w:t xml:space="preserve">ACL Anthology</w:t>
        </w:r>
      </w:hyperlink>
    </w:p>
    <w:p>
      <w:pPr/>
      <w:r>
        <w:rPr>
          <w:b/>
        </w:rPr>
        <w:t xml:space="preserve">Question:</w:t>
      </w:r>
      <w:r>
        <w:t xml:space="preserve"> Fine-tuning on harmless data weakens safety. But how reliable are the safety measurements themselves?</w:t>
      </w:r>
    </w:p>
    <w:p>
      <w:pPr/>
      <w:r>
        <w:rPr>
          <w:b/>
        </w:rPr>
        <w:t xml:space="preserve">Setup</w:t>
      </w:r>
    </w:p>
    <w:p>
      <w:pPr>
        <w:pStyle w:val="ListParagraph"/>
        <w:numPr>
          <w:ilvl w:val="0"/>
          <w:numId w:val="2"/>
        </w:numPr>
      </w:pPr>
      <w:r>
        <w:t xml:space="preserve">Models: </w:t>
      </w:r>
      <w:hyperlink r:id="rId5" w:history="1">
        <w:r>
          <w:rPr>
            <w:rStyle w:val="Hyperlink"/>
          </w:rPr>
          <w:t xml:space="preserve">Llama-3.2-1B</w:t>
        </w:r>
      </w:hyperlink>
      <w:r>
        <w:t xml:space="preserve"> and </w:t>
      </w:r>
      <w:hyperlink r:id="rId6" w:history="1">
        <w:r>
          <w:rPr>
            <w:rStyle w:val="Hyperlink"/>
          </w:rPr>
          <w:t xml:space="preserve">Mistral-7B-v0.3</w:t>
        </w:r>
      </w:hyperlink>
      <w:r>
        <w:t xml:space="preserve">. GPT-4o-mini in the appendix.</w:t>
      </w:r>
    </w:p>
    <w:p>
      <w:pPr>
        <w:pStyle w:val="ListParagraph"/>
        <w:numPr>
          <w:ilvl w:val="0"/>
          <w:numId w:val="2"/>
        </w:numPr>
      </w:pPr>
      <w:r>
        <w:t xml:space="preserve">Data: Dolly-15k and </w:t>
      </w:r>
      <w:hyperlink r:id="rId7" w:history="1">
        <w:r>
          <w:rPr>
            <w:rStyle w:val="Hyperlink"/>
          </w:rPr>
          <w:t xml:space="preserve">Alpaca</w:t>
        </w:r>
      </w:hyperlink>
      <w:r>
        <w:t xml:space="preserve">, using Qi et al.'s versions with safety questions removed. Both have 14,624 examples.</w:t>
      </w:r>
    </w:p>
    <w:p>
      <w:pPr>
        <w:pStyle w:val="ListParagraph"/>
        <w:numPr>
          <w:ilvl w:val="0"/>
          <w:numId w:val="2"/>
        </w:numPr>
      </w:pPr>
      <w:r>
        <w:t xml:space="preserve">Training: 4-bit LoRA, batch size 64, learning rate 2e-5, AdamW-8bit, 5 epochs, 5 seeds, on one A100. This gives 150 checkpoints.</w:t>
      </w:r>
    </w:p>
    <w:p>
      <w:pPr>
        <w:pStyle w:val="ListParagraph"/>
        <w:numPr>
          <w:ilvl w:val="0"/>
          <w:numId w:val="2"/>
        </w:numPr>
      </w:pPr>
      <w:r>
        <w:t xml:space="preserve">Evaluation: </w:t>
      </w:r>
      <w:hyperlink r:id="rId8" w:history="1">
        <w:r>
          <w:rPr>
            <w:rStyle w:val="Hyperlink"/>
          </w:rPr>
          <w:t xml:space="preserve">SORRY-Bench</w:t>
        </w:r>
      </w:hyperlink>
      <w:r>
        <w:t xml:space="preserve"> (440 prompts) with its own judge model. Temperature 0 and 0.7. Toxicity measured with </w:t>
      </w:r>
      <w:hyperlink r:id="rId9" w:history="1">
        <w:r>
          <w:rPr>
            <w:rStyle w:val="Hyperlink"/>
          </w:rPr>
          <w:t xml:space="preserve">Perspective API</w:t>
        </w:r>
      </w:hyperlink>
      <w:r>
        <w:t xml:space="preserve">.</w:t>
      </w:r>
    </w:p>
    <w:p>
      <w:pPr/>
      <w:r>
        <w:rPr>
          <w:b/>
        </w:rPr>
        <w:t xml:space="preserve">Findings</w:t>
      </w:r>
    </w:p>
    <w:p>
      <w:pPr>
        <w:pStyle w:val="ListParagraph"/>
        <w:numPr>
          <w:ilvl w:val="0"/>
          <w:numId w:val="3"/>
        </w:numPr>
      </w:pPr>
      <w:r>
        <w:t xml:space="preserve">Repeating the evaluation on the same model gives different scores.</w:t>
      </w:r>
    </w:p>
    <w:p>
      <w:pPr>
        <w:pStyle w:val="ListParagraph"/>
        <w:numPr>
          <w:ilvl w:val="0"/>
          <w:numId w:val="3"/>
        </w:numPr>
      </w:pPr>
      <w:r>
        <w:t xml:space="preserve">Fine-tuning always raises harmfulness, but different seeds give different values.</w:t>
      </w:r>
    </w:p>
    <w:p>
      <w:pPr>
        <w:pStyle w:val="ListParagraph"/>
        <w:numPr>
          <w:ilvl w:val="0"/>
          <w:numId w:val="3"/>
        </w:numPr>
      </w:pPr>
      <w:r>
        <w:t xml:space="preserve">Temperature raises harmfulness for Llama but not for Mistral.</w:t>
      </w:r>
    </w:p>
    <w:p>
      <w:pPr>
        <w:pStyle w:val="ListParagraph"/>
        <w:numPr>
          <w:ilvl w:val="0"/>
          <w:numId w:val="3"/>
        </w:numPr>
      </w:pPr>
      <w:r>
        <w:t xml:space="preserve">Fine-tuning on the model's own answers hurts safety much less than fine-tuning on human-written answers.</w:t>
      </w:r>
    </w:p>
    <w:p>
      <w:pPr>
        <w:pStyle w:val="ListParagraph"/>
        <w:numPr>
          <w:ilvl w:val="0"/>
          <w:numId w:val="3"/>
        </w:numPr>
      </w:pPr>
      <w:r>
        <w:t xml:space="preserve">Refusal rate and toxicity are different measures.</w:t>
      </w:r>
    </w:p>
    <w:p>
      <w:pPr>
        <w:pStyle w:val="ListParagraph"/>
        <w:numPr>
          <w:ilvl w:val="0"/>
          <w:numId w:val="3"/>
        </w:numPr>
      </w:pPr>
      <w:r>
        <w:t xml:space="preserve">GPT-4o-mini behaves differently, probably because OpenAI adds moderation behind the scenes.</w:t>
      </w:r>
    </w:p>
    <w:p>
      <w:pPr/>
      <w:r>
        <w:rPr>
          <w:b/>
        </w:rPr>
        <w:t xml:space="preserve">Untested parameters the authors list (candidate extensions)</w:t>
      </w:r>
      <w:r>
        <w:t xml:space="preserve"> Learning rate, quantization level, dataset size and variety, prompt format, system prompt, wider temperature range, other benchmarks, larger models, other languages.</w:t>
      </w:r>
    </w:p>
    <w:p>
      <w:pPr>
        <w:pStyle w:val="Heading2"/>
      </w:pPr>
      <w:r>
        <w:t xml:space="preserve">2. Prof. Fraser's related papers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Paper</w:t>
            </w:r>
          </w:p>
        </w:tc>
        <w:tc>
          <w:tcPr>
            <w:tcW w:w="4680" w:type="dxa"/>
            <w:shd w:val="clear" w:color="auto" w:fill="F2F2F2"/>
          </w:tcPr>
          <w:p>
            <w:pPr/>
            <w:r>
              <w:t xml:space="preserve">Link</w:t>
            </w:r>
          </w:p>
        </w:tc>
      </w:tr>
      <w:tr>
        <w:tc>
          <w:tcPr>
            <w:tcW w:w="4680" w:type="dxa"/>
          </w:tcPr>
          <w:p>
            <w:pPr/>
            <w:r>
              <w:t xml:space="preserve">Fine-Tuning Lowers Safety and Disrupts Evaluation Consistency (2025)</w:t>
            </w:r>
          </w:p>
        </w:tc>
        <w:tc>
          <w:tcPr>
            <w:tcW w:w="4680" w:type="dxa"/>
          </w:tcPr>
          <w:p>
            <w:pPr/>
            <w:hyperlink r:id="rId3" w:history="1">
              <w:r>
                <w:rPr>
                  <w:rStyle w:val="Hyperlink"/>
                </w:rPr>
                <w:t xml:space="preserve">arXiv</w:t>
              </w:r>
            </w:hyperlink>
          </w:p>
        </w:tc>
      </w:tr>
      <w:tr>
        <w:tc>
          <w:tcPr>
            <w:tcW w:w="4680" w:type="dxa"/>
          </w:tcPr>
          <w:p>
            <w:pPr/>
            <w:r>
              <w:t xml:space="preserve">Safety Measurements for Fine-tuned LLMs Should be Grounded in Capability (Vishnubhotla et al., 2026). Same NRC group, she is not an author.</w:t>
            </w:r>
          </w:p>
        </w:tc>
        <w:tc>
          <w:tcPr>
            <w:tcW w:w="4680" w:type="dxa"/>
          </w:tcPr>
          <w:p>
            <w:pPr/>
            <w:hyperlink r:id="rId10" w:history="1">
              <w:r>
                <w:rPr>
                  <w:rStyle w:val="Hyperlink"/>
                </w:rPr>
                <w:t xml:space="preserve">arXiv</w:t>
              </w:r>
            </w:hyperlink>
          </w:p>
        </w:tc>
      </w:tr>
      <w:tr>
        <w:tc>
          <w:tcPr>
            <w:tcW w:w="4680" w:type="dxa"/>
          </w:tcPr>
          <w:p>
            <w:pPr/>
            <w:r>
              <w:t xml:space="preserve">Detecting AI-Generated Text: Factors Influencing Detectability with Current Methods (JAIR, 2025)</w:t>
            </w:r>
          </w:p>
        </w:tc>
        <w:tc>
          <w:tcPr>
            <w:tcW w:w="4680" w:type="dxa"/>
          </w:tcPr>
          <w:p>
            <w:pPr/>
            <w:hyperlink r:id="rId11" w:history="1">
              <w:r>
                <w:rPr>
                  <w:rStyle w:val="Hyperlink"/>
                </w:rPr>
                <w:t xml:space="preserve">JAIR</w:t>
              </w:r>
            </w:hyperlink>
          </w:p>
        </w:tc>
      </w:tr>
      <w:tr>
        <w:tc>
          <w:tcPr>
            <w:tcW w:w="4680" w:type="dxa"/>
          </w:tcPr>
          <w:p>
            <w:pPr/>
            <w:r>
              <w:t xml:space="preserve">Detecting AI text on social media (ACL Findings, 2025)</w:t>
            </w:r>
          </w:p>
        </w:tc>
        <w:tc>
          <w:tcPr>
            <w:tcW w:w="4680" w:type="dxa"/>
          </w:tcPr>
          <w:p>
            <w:pPr/>
            <w:hyperlink r:id="rId12" w:history="1">
              <w:r>
                <w:rPr>
                  <w:rStyle w:val="Hyperlink"/>
                </w:rPr>
                <w:t xml:space="preserve">PDF</w:t>
              </w:r>
            </w:hyperlink>
          </w:p>
        </w:tc>
      </w:tr>
      <w:tr>
        <w:tc>
          <w:tcPr>
            <w:tcW w:w="4680" w:type="dxa"/>
          </w:tcPr>
          <w:p>
            <w:pPr/>
            <w:r>
              <w:t xml:space="preserve">RAG safety evaluation (Saravanan et al., EMNLP 2026). Listed on her site, not read.</w:t>
            </w:r>
          </w:p>
        </w:tc>
        <w:tc>
          <w:tcPr>
            <w:tcW w:w="4680" w:type="dxa"/>
          </w:tcPr>
          <w:p>
            <w:pPr/>
            <w:hyperlink r:id="rId13" w:history="1">
              <w:r>
                <w:rPr>
                  <w:rStyle w:val="Hyperlink"/>
                </w:rPr>
                <w:t xml:space="preserve">arXiv</w:t>
              </w:r>
            </w:hyperlink>
          </w:p>
        </w:tc>
      </w:tr>
    </w:tbl>
    <w:p>
      <w:pPr/>
      <w:r>
        <w:t xml:space="preserve">Full list: </w:t>
      </w:r>
      <w:hyperlink r:id="rId14" w:history="1">
        <w:r>
          <w:rPr>
            <w:rStyle w:val="Hyperlink"/>
          </w:rPr>
          <w:t xml:space="preserve">Google Scholar</w:t>
        </w:r>
      </w:hyperlink>
      <w:r>
        <w:t xml:space="preserve"> | </w:t>
      </w:r>
      <w:hyperlink r:id="rId15" w:history="1">
        <w:r>
          <w:rPr>
            <w:rStyle w:val="Hyperlink"/>
          </w:rPr>
          <w:t xml:space="preserve">Her website</w:t>
        </w:r>
      </w:hyperlink>
    </w:p>
    <w:p>
      <w:pPr>
        <w:pStyle w:val="Heading2"/>
      </w:pPr>
      <w:r>
        <w:t xml:space="preserve">3. Papers she cites</w:t>
      </w:r>
    </w:p>
    <w:p>
      <w:pPr>
        <w:pStyle w:val="Heading3"/>
      </w:pPr>
      <w:r>
        <w:t xml:space="preserve">A. Fine-tuning breaks safety (read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Paper</w:t>
            </w:r>
          </w:p>
        </w:tc>
        <w:tc>
          <w:tcPr>
            <w:tcW w:w="3120" w:type="dxa"/>
            <w:shd w:val="clear" w:color="auto" w:fill="F2F2F2"/>
          </w:tcPr>
          <w:p>
            <w:pPr/>
            <w:r>
              <w:t xml:space="preserve">Role</w:t>
            </w:r>
          </w:p>
        </w:tc>
        <w:tc>
          <w:tcPr>
            <w:tcW w:w="3120" w:type="dxa"/>
            <w:shd w:val="clear" w:color="auto" w:fill="F2F2F2"/>
          </w:tcPr>
          <w:p>
            <w:pPr/>
            <w:r>
              <w:t xml:space="preserve">Link</w:t>
            </w:r>
          </w:p>
        </w:tc>
      </w:tr>
      <w:tr>
        <w:tc>
          <w:tcPr>
            <w:tcW w:w="3120" w:type="dxa"/>
          </w:tcPr>
          <w:p>
            <w:pPr/>
            <w:r>
              <w:t xml:space="preserve">Qi et al. 2024. Fine-tuning aligned language models compromises safety, even when users do not intend to!</w:t>
            </w:r>
          </w:p>
        </w:tc>
        <w:tc>
          <w:tcPr>
            <w:tcW w:w="3120" w:type="dxa"/>
          </w:tcPr>
          <w:p>
            <w:pPr/>
            <w:r>
              <w:t xml:space="preserve">The original benign-data finding. Supplies the datasets. </w:t>
            </w:r>
            <w:r>
              <w:rPr>
                <w:b/>
              </w:rPr>
              <w:t xml:space="preserve">Read first.</w:t>
            </w:r>
          </w:p>
        </w:tc>
        <w:tc>
          <w:tcPr>
            <w:tcW w:w="3120" w:type="dxa"/>
          </w:tcPr>
          <w:p>
            <w:pPr/>
            <w:hyperlink r:id="rId16" w:history="1">
              <w:r>
                <w:rPr>
                  <w:rStyle w:val="Hyperlink"/>
                </w:rPr>
                <w:t xml:space="preserve">arXiv †</w:t>
              </w:r>
            </w:hyperlink>
          </w:p>
        </w:tc>
      </w:tr>
      <w:tr>
        <w:tc>
          <w:tcPr>
            <w:tcW w:w="3120" w:type="dxa"/>
          </w:tcPr>
          <w:p>
            <w:pPr/>
            <w:r>
              <w:t xml:space="preserve">Lyu et al. 2024. Keeping LLMs aligned after fine-tuning: the crucial role of prompt templates</w:t>
            </w:r>
          </w:p>
        </w:tc>
        <w:tc>
          <w:tcPr>
            <w:tcW w:w="3120" w:type="dxa"/>
          </w:tcPr>
          <w:p>
            <w:pPr/>
            <w:r>
              <w:t xml:space="preserve">GSM8K fine-tuning degrades safety. Harmfulness grows with epochs.</w:t>
            </w:r>
          </w:p>
        </w:tc>
        <w:tc>
          <w:tcPr>
            <w:tcW w:w="3120" w:type="dxa"/>
          </w:tcPr>
          <w:p>
            <w:pPr/>
            <w:hyperlink r:id="rId17" w:history="1">
              <w:r>
                <w:rPr>
                  <w:rStyle w:val="Hyperlink"/>
                </w:rPr>
                <w:t xml:space="preserve">arXiv †</w:t>
              </w:r>
            </w:hyperlink>
          </w:p>
        </w:tc>
      </w:tr>
      <w:tr>
        <w:tc>
          <w:tcPr>
            <w:tcW w:w="3120" w:type="dxa"/>
          </w:tcPr>
          <w:p>
            <w:pPr/>
            <w:r>
              <w:t xml:space="preserve">He et al. 2024. What is in your safe data? Identifying benign data that breaks safety</w:t>
            </w:r>
          </w:p>
        </w:tc>
        <w:tc>
          <w:tcPr>
            <w:tcW w:w="3120" w:type="dxa"/>
          </w:tcPr>
          <w:p>
            <w:pPr/>
            <w:r>
              <w:t xml:space="preserve">Lists, bullet points and math data hurt most.</w:t>
            </w:r>
          </w:p>
        </w:tc>
        <w:tc>
          <w:tcPr>
            <w:tcW w:w="3120" w:type="dxa"/>
          </w:tcPr>
          <w:p>
            <w:pPr/>
            <w:hyperlink r:id="rId18" w:history="1">
              <w:r>
                <w:rPr>
                  <w:rStyle w:val="Hyperlink"/>
                </w:rPr>
                <w:t xml:space="preserve">arXiv †</w:t>
              </w:r>
            </w:hyperlink>
          </w:p>
        </w:tc>
      </w:tr>
      <w:tr>
        <w:tc>
          <w:tcPr>
            <w:tcW w:w="3120" w:type="dxa"/>
          </w:tcPr>
          <w:p>
            <w:pPr/>
            <w:r>
              <w:t xml:space="preserve">Betley et al. 2025. Emergent misalignment</w:t>
            </w:r>
          </w:p>
        </w:tc>
        <w:tc>
          <w:tcPr>
            <w:tcW w:w="3120" w:type="dxa"/>
          </w:tcPr>
          <w:p>
            <w:pPr/>
            <w:r>
              <w:t xml:space="preserve">Narrow bad fine-tuning causes broad misalignment.</w:t>
            </w:r>
          </w:p>
        </w:tc>
        <w:tc>
          <w:tcPr>
            <w:tcW w:w="3120" w:type="dxa"/>
          </w:tcPr>
          <w:p>
            <w:pPr/>
            <w:hyperlink r:id="rId19" w:history="1">
              <w:r>
                <w:rPr>
                  <w:rStyle w:val="Hyperlink"/>
                </w:rPr>
                <w:t xml:space="preserve">arXiv</w:t>
              </w:r>
            </w:hyperlink>
          </w:p>
        </w:tc>
      </w:tr>
      <w:tr>
        <w:tc>
          <w:tcPr>
            <w:tcW w:w="3120" w:type="dxa"/>
          </w:tcPr>
          <w:p>
            <w:pPr/>
            <w:r>
              <w:t xml:space="preserve">Li et al. 2025a. Are smarter LLMs safer?</w:t>
            </w:r>
          </w:p>
        </w:tc>
        <w:tc>
          <w:tcPr>
            <w:tcW w:w="3120" w:type="dxa"/>
          </w:tcPr>
          <w:p>
            <w:pPr/>
            <w:r>
              <w:t xml:space="preserve">Reasoning fine-tuning raises risk.</w:t>
            </w:r>
          </w:p>
        </w:tc>
        <w:tc>
          <w:tcPr>
            <w:tcW w:w="3120" w:type="dxa"/>
          </w:tcPr>
          <w:p>
            <w:pPr/>
            <w:hyperlink r:id="rId20" w:history="1">
              <w:r>
                <w:rPr>
                  <w:rStyle w:val="Hyperlink"/>
                </w:rPr>
                <w:t xml:space="preserve">arXiv</w:t>
              </w:r>
            </w:hyperlink>
          </w:p>
        </w:tc>
      </w:tr>
      <w:tr>
        <w:tc>
          <w:tcPr>
            <w:tcW w:w="3120" w:type="dxa"/>
          </w:tcPr>
          <w:p>
            <w:pPr/>
            <w:r>
              <w:t xml:space="preserve">Li et al. 2025b. SaLoRA: Safety-alignment preserved low-rank adaptation</w:t>
            </w:r>
          </w:p>
        </w:tc>
        <w:tc>
          <w:tcPr>
            <w:tcW w:w="3120" w:type="dxa"/>
          </w:tcPr>
          <w:p>
            <w:pPr/>
            <w:r>
              <w:t xml:space="preserve">Mitigation method (ICLR 2025).</w:t>
            </w:r>
          </w:p>
        </w:tc>
        <w:tc>
          <w:tcPr>
            <w:tcW w:w="3120" w:type="dxa"/>
          </w:tcPr>
          <w:p>
            <w:pPr/>
            <w:r>
              <w:t xml:space="preserve">Search the title on OpenReview</w:t>
            </w:r>
          </w:p>
        </w:tc>
      </w:tr>
      <w:tr>
        <w:tc>
          <w:tcPr>
            <w:tcW w:w="3120" w:type="dxa"/>
          </w:tcPr>
          <w:p>
            <w:pPr/>
            <w:r>
              <w:t xml:space="preserve">Kumar et al. 2024. Fine-tuning, quantization, and LLMs</w:t>
            </w:r>
          </w:p>
        </w:tc>
        <w:tc>
          <w:tcPr>
            <w:tcW w:w="3120" w:type="dxa"/>
          </w:tcPr>
          <w:p>
            <w:pPr/>
            <w:r>
              <w:t xml:space="preserve">2-bit quantization raises vulnerability.</w:t>
            </w:r>
          </w:p>
        </w:tc>
        <w:tc>
          <w:tcPr>
            <w:tcW w:w="3120" w:type="dxa"/>
          </w:tcPr>
          <w:p>
            <w:pPr/>
            <w:hyperlink r:id="rId21" w:history="1">
              <w:r>
                <w:rPr>
                  <w:rStyle w:val="Hyperlink"/>
                </w:rPr>
                <w:t xml:space="preserve">arXiv</w:t>
              </w:r>
            </w:hyperlink>
          </w:p>
        </w:tc>
      </w:tr>
    </w:tbl>
    <w:p>
      <w:pPr>
        <w:pStyle w:val="Heading3"/>
      </w:pPr>
      <w:r>
        <w:t xml:space="preserve">B. Adversarial fine-tuning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Paper</w:t>
            </w:r>
          </w:p>
        </w:tc>
        <w:tc>
          <w:tcPr>
            <w:tcW w:w="4680" w:type="dxa"/>
            <w:shd w:val="clear" w:color="auto" w:fill="F2F2F2"/>
          </w:tcPr>
          <w:p>
            <w:pPr/>
            <w:r>
              <w:t xml:space="preserve">Link</w:t>
            </w:r>
          </w:p>
        </w:tc>
      </w:tr>
      <w:tr>
        <w:tc>
          <w:tcPr>
            <w:tcW w:w="4680" w:type="dxa"/>
          </w:tcPr>
          <w:p>
            <w:pPr/>
            <w:r>
              <w:t xml:space="preserve">Lermen and Rogers-Smith 2024. LoRA fine-tuning efficiently undoes safety training in Llama 2-Chat 70B</w:t>
            </w:r>
          </w:p>
        </w:tc>
        <w:tc>
          <w:tcPr>
            <w:tcW w:w="4680" w:type="dxa"/>
          </w:tcPr>
          <w:p>
            <w:pPr/>
            <w:hyperlink r:id="rId22" w:history="1">
              <w:r>
                <w:rPr>
                  <w:rStyle w:val="Hyperlink"/>
                </w:rPr>
                <w:t xml:space="preserve">arXiv †</w:t>
              </w:r>
            </w:hyperlink>
          </w:p>
        </w:tc>
      </w:tr>
      <w:tr>
        <w:tc>
          <w:tcPr>
            <w:tcW w:w="4680" w:type="dxa"/>
          </w:tcPr>
          <w:p>
            <w:pPr/>
            <w:r>
              <w:t xml:space="preserve">Yang et al. 2024. Shadow alignment</w:t>
            </w:r>
          </w:p>
        </w:tc>
        <w:tc>
          <w:tcPr>
            <w:tcW w:w="4680" w:type="dxa"/>
          </w:tcPr>
          <w:p>
            <w:pPr/>
            <w:hyperlink r:id="rId23" w:history="1">
              <w:r>
                <w:rPr>
                  <w:rStyle w:val="Hyperlink"/>
                </w:rPr>
                <w:t xml:space="preserve">arXiv †</w:t>
              </w:r>
            </w:hyperlink>
          </w:p>
        </w:tc>
      </w:tr>
      <w:tr>
        <w:tc>
          <w:tcPr>
            <w:tcW w:w="4680" w:type="dxa"/>
          </w:tcPr>
          <w:p>
            <w:pPr/>
            <w:r>
              <w:t xml:space="preserve">Zhan et al. 2024. Removing RLHF protections in GPT-4 via fine-tuning</w:t>
            </w:r>
          </w:p>
        </w:tc>
        <w:tc>
          <w:tcPr>
            <w:tcW w:w="4680" w:type="dxa"/>
          </w:tcPr>
          <w:p>
            <w:pPr/>
            <w:hyperlink r:id="rId24" w:history="1">
              <w:r>
                <w:rPr>
                  <w:rStyle w:val="Hyperlink"/>
                </w:rPr>
                <w:t xml:space="preserve">arXiv †</w:t>
              </w:r>
            </w:hyperlink>
          </w:p>
        </w:tc>
      </w:tr>
      <w:tr>
        <w:tc>
          <w:tcPr>
            <w:tcW w:w="4680" w:type="dxa"/>
          </w:tcPr>
          <w:p>
            <w:pPr/>
            <w:r>
              <w:t xml:space="preserve">Bowen et al. 2024. Data poisoning in LLMs: jailbreak-tuning and scaling laws</w:t>
            </w:r>
          </w:p>
        </w:tc>
        <w:tc>
          <w:tcPr>
            <w:tcW w:w="4680" w:type="dxa"/>
          </w:tcPr>
          <w:p>
            <w:pPr/>
            <w:hyperlink r:id="rId25" w:history="1">
              <w:r>
                <w:rPr>
                  <w:rStyle w:val="Hyperlink"/>
                </w:rPr>
                <w:t xml:space="preserve">arXiv</w:t>
              </w:r>
            </w:hyperlink>
          </w:p>
        </w:tc>
      </w:tr>
    </w:tbl>
    <w:p>
      <w:pPr>
        <w:pStyle w:val="Heading3"/>
      </w:pPr>
      <w:r>
        <w:t xml:space="preserve">C. Benchmarks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Paper</w:t>
            </w:r>
          </w:p>
        </w:tc>
        <w:tc>
          <w:tcPr>
            <w:tcW w:w="4680" w:type="dxa"/>
            <w:shd w:val="clear" w:color="auto" w:fill="F2F2F2"/>
          </w:tcPr>
          <w:p>
            <w:pPr/>
            <w:r>
              <w:t xml:space="preserve">Link</w:t>
            </w:r>
          </w:p>
        </w:tc>
      </w:tr>
      <w:tr>
        <w:tc>
          <w:tcPr>
            <w:tcW w:w="4680" w:type="dxa"/>
          </w:tcPr>
          <w:p>
            <w:pPr/>
            <w:r>
              <w:rPr>
                <w:b/>
              </w:rPr>
              <w:t xml:space="preserve">Xie et al. 2025. SORRY-Bench</w:t>
            </w:r>
            <w:r>
              <w:t xml:space="preserve"> (the benchmark she uses and you will use)</w:t>
            </w:r>
          </w:p>
        </w:tc>
        <w:tc>
          <w:tcPr>
            <w:tcW w:w="4680" w:type="dxa"/>
          </w:tcPr>
          <w:p>
            <w:pPr/>
            <w:hyperlink r:id="rId26" w:history="1">
              <w:r>
                <w:rPr>
                  <w:rStyle w:val="Hyperlink"/>
                </w:rPr>
                <w:t xml:space="preserve">arXiv †</w:t>
              </w:r>
            </w:hyperlink>
          </w:p>
        </w:tc>
      </w:tr>
      <w:tr>
        <w:tc>
          <w:tcPr>
            <w:tcW w:w="4680" w:type="dxa"/>
          </w:tcPr>
          <w:p>
            <w:pPr/>
            <w:r>
              <w:t xml:space="preserve">Mazeika et al. 2024. HarmBench</w:t>
            </w:r>
          </w:p>
        </w:tc>
        <w:tc>
          <w:tcPr>
            <w:tcW w:w="4680" w:type="dxa"/>
          </w:tcPr>
          <w:p>
            <w:pPr/>
            <w:hyperlink r:id="rId27" w:history="1">
              <w:r>
                <w:rPr>
                  <w:rStyle w:val="Hyperlink"/>
                </w:rPr>
                <w:t xml:space="preserve">arXiv †</w:t>
              </w:r>
            </w:hyperlink>
          </w:p>
        </w:tc>
      </w:tr>
      <w:tr>
        <w:tc>
          <w:tcPr>
            <w:tcW w:w="4680" w:type="dxa"/>
          </w:tcPr>
          <w:p>
            <w:pPr/>
            <w:r>
              <w:t xml:space="preserve">Vidgen et al. 2024. MLCommons AI Safety Benchmark v0.5</w:t>
            </w:r>
          </w:p>
        </w:tc>
        <w:tc>
          <w:tcPr>
            <w:tcW w:w="4680" w:type="dxa"/>
          </w:tcPr>
          <w:p>
            <w:pPr/>
            <w:hyperlink r:id="rId28" w:history="1">
              <w:r>
                <w:rPr>
                  <w:rStyle w:val="Hyperlink"/>
                </w:rPr>
                <w:t xml:space="preserve">arXiv</w:t>
              </w:r>
            </w:hyperlink>
          </w:p>
        </w:tc>
      </w:tr>
      <w:tr>
        <w:tc>
          <w:tcPr>
            <w:tcW w:w="4680" w:type="dxa"/>
          </w:tcPr>
          <w:p>
            <w:pPr/>
            <w:r>
              <w:t xml:space="preserve">Vidgen et al. 2023. SimpleSafetyTests</w:t>
            </w:r>
          </w:p>
        </w:tc>
        <w:tc>
          <w:tcPr>
            <w:tcW w:w="4680" w:type="dxa"/>
          </w:tcPr>
          <w:p>
            <w:pPr/>
            <w:hyperlink r:id="rId29" w:history="1">
              <w:r>
                <w:rPr>
                  <w:rStyle w:val="Hyperlink"/>
                </w:rPr>
                <w:t xml:space="preserve">arXiv</w:t>
              </w:r>
            </w:hyperlink>
          </w:p>
        </w:tc>
      </w:tr>
      <w:tr>
        <w:tc>
          <w:tcPr>
            <w:tcW w:w="4680" w:type="dxa"/>
          </w:tcPr>
          <w:p>
            <w:pPr/>
            <w:r>
              <w:t xml:space="preserve">Wang et al. 2024b. Do-Not-Answer</w:t>
            </w:r>
          </w:p>
        </w:tc>
        <w:tc>
          <w:tcPr>
            <w:tcW w:w="4680" w:type="dxa"/>
          </w:tcPr>
          <w:p>
            <w:pPr/>
            <w:hyperlink r:id="rId30" w:history="1">
              <w:r>
                <w:rPr>
                  <w:rStyle w:val="Hyperlink"/>
                </w:rPr>
                <w:t xml:space="preserve">arXiv †</w:t>
              </w:r>
            </w:hyperlink>
          </w:p>
        </w:tc>
      </w:tr>
      <w:tr>
        <w:tc>
          <w:tcPr>
            <w:tcW w:w="4680" w:type="dxa"/>
          </w:tcPr>
          <w:p>
            <w:pPr/>
            <w:r>
              <w:t xml:space="preserve">Bianchi et al. 2024. Safety-tuned Llamas (MaliciousInstructions)</w:t>
            </w:r>
          </w:p>
        </w:tc>
        <w:tc>
          <w:tcPr>
            <w:tcW w:w="4680" w:type="dxa"/>
          </w:tcPr>
          <w:p>
            <w:pPr/>
            <w:hyperlink r:id="rId31" w:history="1">
              <w:r>
                <w:rPr>
                  <w:rStyle w:val="Hyperlink"/>
                </w:rPr>
                <w:t xml:space="preserve">arXiv †</w:t>
              </w:r>
            </w:hyperlink>
          </w:p>
        </w:tc>
      </w:tr>
      <w:tr>
        <w:tc>
          <w:tcPr>
            <w:tcW w:w="4680" w:type="dxa"/>
          </w:tcPr>
          <w:p>
            <w:pPr/>
            <w:r>
              <w:t xml:space="preserve">Han et al. 2024. MedSafetyBench</w:t>
            </w:r>
          </w:p>
        </w:tc>
        <w:tc>
          <w:tcPr>
            <w:tcW w:w="4680" w:type="dxa"/>
          </w:tcPr>
          <w:p>
            <w:pPr/>
            <w:hyperlink r:id="rId32" w:history="1">
              <w:r>
                <w:rPr>
                  <w:rStyle w:val="Hyperlink"/>
                </w:rPr>
                <w:t xml:space="preserve">arXiv †</w:t>
              </w:r>
            </w:hyperlink>
          </w:p>
        </w:tc>
      </w:tr>
      <w:tr>
        <w:tc>
          <w:tcPr>
            <w:tcW w:w="4680" w:type="dxa"/>
          </w:tcPr>
          <w:p>
            <w:pPr/>
            <w:r>
              <w:t xml:space="preserve">Li et al. 2024. WMDP</w:t>
            </w:r>
          </w:p>
        </w:tc>
        <w:tc>
          <w:tcPr>
            <w:tcW w:w="4680" w:type="dxa"/>
          </w:tcPr>
          <w:p>
            <w:pPr/>
            <w:hyperlink r:id="rId33" w:history="1">
              <w:r>
                <w:rPr>
                  <w:rStyle w:val="Hyperlink"/>
                </w:rPr>
                <w:t xml:space="preserve">arXiv †</w:t>
              </w:r>
            </w:hyperlink>
          </w:p>
        </w:tc>
      </w:tr>
      <w:tr>
        <w:tc>
          <w:tcPr>
            <w:tcW w:w="4680" w:type="dxa"/>
          </w:tcPr>
          <w:p>
            <w:pPr/>
            <w:r>
              <w:t xml:space="preserve">Mireshghallah et al. 2024. ConfAIde</w:t>
            </w:r>
          </w:p>
        </w:tc>
        <w:tc>
          <w:tcPr>
            <w:tcW w:w="4680" w:type="dxa"/>
          </w:tcPr>
          <w:p>
            <w:pPr/>
            <w:hyperlink r:id="rId34" w:history="1">
              <w:r>
                <w:rPr>
                  <w:rStyle w:val="Hyperlink"/>
                </w:rPr>
                <w:t xml:space="preserve">arXiv †</w:t>
              </w:r>
            </w:hyperlink>
          </w:p>
        </w:tc>
      </w:tr>
      <w:tr>
        <w:tc>
          <w:tcPr>
            <w:tcW w:w="4680" w:type="dxa"/>
          </w:tcPr>
          <w:p>
            <w:pPr/>
            <w:r>
              <w:t xml:space="preserve">Wang et al. 2024a. XSafety</w:t>
            </w:r>
          </w:p>
        </w:tc>
        <w:tc>
          <w:tcPr>
            <w:tcW w:w="4680" w:type="dxa"/>
          </w:tcPr>
          <w:p>
            <w:pPr/>
            <w:hyperlink r:id="rId35" w:history="1">
              <w:r>
                <w:rPr>
                  <w:rStyle w:val="Hyperlink"/>
                </w:rPr>
                <w:t xml:space="preserve">arXiv †</w:t>
              </w:r>
            </w:hyperlink>
          </w:p>
        </w:tc>
      </w:tr>
      <w:tr>
        <w:tc>
          <w:tcPr>
            <w:tcW w:w="4680" w:type="dxa"/>
          </w:tcPr>
          <w:p>
            <w:pPr/>
            <w:r>
              <w:t xml:space="preserve">Kour et al. 2023. AttaQ</w:t>
            </w:r>
          </w:p>
        </w:tc>
        <w:tc>
          <w:tcPr>
            <w:tcW w:w="4680" w:type="dxa"/>
          </w:tcPr>
          <w:p>
            <w:pPr/>
            <w:hyperlink r:id="rId36" w:history="1">
              <w:r>
                <w:rPr>
                  <w:rStyle w:val="Hyperlink"/>
                </w:rPr>
                <w:t xml:space="preserve">arXiv †</w:t>
              </w:r>
            </w:hyperlink>
          </w:p>
        </w:tc>
      </w:tr>
      <w:tr>
        <w:tc>
          <w:tcPr>
            <w:tcW w:w="4680" w:type="dxa"/>
          </w:tcPr>
          <w:p>
            <w:pPr/>
            <w:r>
              <w:t xml:space="preserve">Liu et al. 2023. CPAD</w:t>
            </w:r>
          </w:p>
        </w:tc>
        <w:tc>
          <w:tcPr>
            <w:tcW w:w="4680" w:type="dxa"/>
          </w:tcPr>
          <w:p>
            <w:pPr/>
            <w:hyperlink r:id="rId37" w:history="1">
              <w:r>
                <w:rPr>
                  <w:rStyle w:val="Hyperlink"/>
                </w:rPr>
                <w:t xml:space="preserve">arXiv</w:t>
              </w:r>
            </w:hyperlink>
          </w:p>
        </w:tc>
      </w:tr>
      <w:tr>
        <w:tc>
          <w:tcPr>
            <w:tcW w:w="4680" w:type="dxa"/>
          </w:tcPr>
          <w:p>
            <w:pPr/>
            <w:r>
              <w:t xml:space="preserve">Zhang et al. 2023. JADE</w:t>
            </w:r>
          </w:p>
        </w:tc>
        <w:tc>
          <w:tcPr>
            <w:tcW w:w="4680" w:type="dxa"/>
          </w:tcPr>
          <w:p>
            <w:pPr/>
            <w:hyperlink r:id="rId38" w:history="1">
              <w:r>
                <w:rPr>
                  <w:rStyle w:val="Hyperlink"/>
                </w:rPr>
                <w:t xml:space="preserve">arXiv</w:t>
              </w:r>
            </w:hyperlink>
          </w:p>
        </w:tc>
      </w:tr>
      <w:tr>
        <w:tc>
          <w:tcPr>
            <w:tcW w:w="4680" w:type="dxa"/>
          </w:tcPr>
          <w:p>
            <w:pPr/>
            <w:r>
              <w:t xml:space="preserve">Sun et al. 2023. Safety assessment of Chinese LLMs</w:t>
            </w:r>
          </w:p>
        </w:tc>
        <w:tc>
          <w:tcPr>
            <w:tcW w:w="4680" w:type="dxa"/>
          </w:tcPr>
          <w:p>
            <w:pPr/>
            <w:hyperlink r:id="rId39" w:history="1">
              <w:r>
                <w:rPr>
                  <w:rStyle w:val="Hyperlink"/>
                </w:rPr>
                <w:t xml:space="preserve">arXiv</w:t>
              </w:r>
            </w:hyperlink>
          </w:p>
        </w:tc>
      </w:tr>
    </w:tbl>
    <w:p>
      <w:pPr>
        <w:pStyle w:val="Heading3"/>
      </w:pPr>
      <w:r>
        <w:t xml:space="preserve">D. Evaluation reliability and methodology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Paper</w:t>
            </w:r>
          </w:p>
        </w:tc>
        <w:tc>
          <w:tcPr>
            <w:tcW w:w="3120" w:type="dxa"/>
            <w:shd w:val="clear" w:color="auto" w:fill="F2F2F2"/>
          </w:tcPr>
          <w:p>
            <w:pPr/>
            <w:r>
              <w:t xml:space="preserve">Role</w:t>
            </w:r>
          </w:p>
        </w:tc>
        <w:tc>
          <w:tcPr>
            <w:tcW w:w="3120" w:type="dxa"/>
            <w:shd w:val="clear" w:color="auto" w:fill="F2F2F2"/>
          </w:tcPr>
          <w:p>
            <w:pPr/>
            <w:r>
              <w:t xml:space="preserve">Link</w:t>
            </w:r>
          </w:p>
        </w:tc>
      </w:tr>
      <w:tr>
        <w:tc>
          <w:tcPr>
            <w:tcW w:w="3120" w:type="dxa"/>
          </w:tcPr>
          <w:p>
            <w:pPr/>
            <w:r>
              <w:rPr>
                <w:b/>
              </w:rPr>
              <w:t xml:space="preserve">Beyer et al. 2025. LLM-safety evaluations lack robustness</w:t>
            </w:r>
          </w:p>
        </w:tc>
        <w:tc>
          <w:tcPr>
            <w:tcW w:w="3120" w:type="dxa"/>
          </w:tcPr>
          <w:p>
            <w:pPr/>
            <w:r>
              <w:t xml:space="preserve">Different judges and setups give different results.</w:t>
            </w:r>
          </w:p>
        </w:tc>
        <w:tc>
          <w:tcPr>
            <w:tcW w:w="3120" w:type="dxa"/>
          </w:tcPr>
          <w:p>
            <w:pPr/>
            <w:hyperlink r:id="rId40" w:history="1">
              <w:r>
                <w:rPr>
                  <w:rStyle w:val="Hyperlink"/>
                </w:rPr>
                <w:t xml:space="preserve">arXiv</w:t>
              </w:r>
            </w:hyperlink>
          </w:p>
        </w:tc>
      </w:tr>
      <w:tr>
        <w:tc>
          <w:tcPr>
            <w:tcW w:w="3120" w:type="dxa"/>
          </w:tcPr>
          <w:p>
            <w:pPr/>
            <w:r>
              <w:t xml:space="preserve">Huang et al. 2024. TrustLLM</w:t>
            </w:r>
          </w:p>
        </w:tc>
        <w:tc>
          <w:tcPr>
            <w:tcW w:w="3120" w:type="dxa"/>
          </w:tcPr>
          <w:p>
            <w:pPr/>
            <w:r>
              <w:t xml:space="preserve">Higher temperature raises jailbreak rates.</w:t>
            </w:r>
          </w:p>
        </w:tc>
        <w:tc>
          <w:tcPr>
            <w:tcW w:w="3120" w:type="dxa"/>
          </w:tcPr>
          <w:p>
            <w:pPr/>
            <w:hyperlink r:id="rId41" w:history="1">
              <w:r>
                <w:rPr>
                  <w:rStyle w:val="Hyperlink"/>
                </w:rPr>
                <w:t xml:space="preserve">arXiv †</w:t>
              </w:r>
            </w:hyperlink>
          </w:p>
        </w:tc>
      </w:tr>
      <w:tr>
        <w:tc>
          <w:tcPr>
            <w:tcW w:w="3120" w:type="dxa"/>
          </w:tcPr>
          <w:p>
            <w:pPr/>
            <w:r>
              <w:t xml:space="preserve">Souly et al. 2024. A StrongREJECT for empty jailbreaks</w:t>
            </w:r>
          </w:p>
        </w:tc>
        <w:tc>
          <w:tcPr>
            <w:tcW w:w="3120" w:type="dxa"/>
          </w:tcPr>
          <w:p>
            <w:pPr/>
            <w:r>
              <w:t xml:space="preserve">Measures how harmful a non-refusal is.</w:t>
            </w:r>
          </w:p>
        </w:tc>
        <w:tc>
          <w:tcPr>
            <w:tcW w:w="3120" w:type="dxa"/>
          </w:tcPr>
          <w:p>
            <w:pPr/>
            <w:hyperlink r:id="rId42" w:history="1">
              <w:r>
                <w:rPr>
                  <w:rStyle w:val="Hyperlink"/>
                </w:rPr>
                <w:t xml:space="preserve">arXiv †</w:t>
              </w:r>
            </w:hyperlink>
          </w:p>
        </w:tc>
      </w:tr>
      <w:tr>
        <w:tc>
          <w:tcPr>
            <w:tcW w:w="3120" w:type="dxa"/>
          </w:tcPr>
          <w:p>
            <w:pPr/>
            <w:r>
              <w:t xml:space="preserve">Röttger et al. 2024. XSTest</w:t>
            </w:r>
          </w:p>
        </w:tc>
        <w:tc>
          <w:tcPr>
            <w:tcW w:w="3120" w:type="dxa"/>
          </w:tcPr>
          <w:p>
            <w:pPr/>
            <w:r>
              <w:t xml:space="preserve">Exaggerated safety (over-refusal).</w:t>
            </w:r>
          </w:p>
        </w:tc>
        <w:tc>
          <w:tcPr>
            <w:tcW w:w="3120" w:type="dxa"/>
          </w:tcPr>
          <w:p>
            <w:pPr/>
            <w:hyperlink r:id="rId43" w:history="1">
              <w:r>
                <w:rPr>
                  <w:rStyle w:val="Hyperlink"/>
                </w:rPr>
                <w:t xml:space="preserve">arXiv †</w:t>
              </w:r>
            </w:hyperlink>
          </w:p>
        </w:tc>
      </w:tr>
      <w:tr>
        <w:tc>
          <w:tcPr>
            <w:tcW w:w="3120" w:type="dxa"/>
          </w:tcPr>
          <w:p>
            <w:pPr/>
            <w:r>
              <w:t xml:space="preserve">Brahman et al. 2024. The art of saying no</w:t>
            </w:r>
          </w:p>
        </w:tc>
        <w:tc>
          <w:tcPr>
            <w:tcW w:w="3120" w:type="dxa"/>
          </w:tcPr>
          <w:p>
            <w:pPr/>
            <w:r>
              <w:t xml:space="preserve">Contextual non-compliance.</w:t>
            </w:r>
          </w:p>
        </w:tc>
        <w:tc>
          <w:tcPr>
            <w:tcW w:w="3120" w:type="dxa"/>
          </w:tcPr>
          <w:p>
            <w:pPr/>
            <w:hyperlink r:id="rId44" w:history="1">
              <w:r>
                <w:rPr>
                  <w:rStyle w:val="Hyperlink"/>
                </w:rPr>
                <w:t xml:space="preserve">arXiv †</w:t>
              </w:r>
            </w:hyperlink>
          </w:p>
        </w:tc>
      </w:tr>
    </w:tbl>
    <w:p>
      <w:pPr>
        <w:pStyle w:val="Heading3"/>
      </w:pPr>
      <w:r>
        <w:t xml:space="preserve">E. Datasets and other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Paper</w:t>
            </w:r>
          </w:p>
        </w:tc>
        <w:tc>
          <w:tcPr>
            <w:tcW w:w="4680" w:type="dxa"/>
            <w:shd w:val="clear" w:color="auto" w:fill="F2F2F2"/>
          </w:tcPr>
          <w:p>
            <w:pPr/>
            <w:r>
              <w:t xml:space="preserve">Link</w:t>
            </w:r>
          </w:p>
        </w:tc>
      </w:tr>
      <w:tr>
        <w:tc>
          <w:tcPr>
            <w:tcW w:w="4680" w:type="dxa"/>
          </w:tcPr>
          <w:p>
            <w:pPr/>
            <w:r>
              <w:t xml:space="preserve">Taori et al. 2023. Stanford Alpaca</w:t>
            </w:r>
          </w:p>
        </w:tc>
        <w:tc>
          <w:tcPr>
            <w:tcW w:w="4680" w:type="dxa"/>
          </w:tcPr>
          <w:p>
            <w:pPr/>
            <w:hyperlink r:id="rId7" w:history="1">
              <w:r>
                <w:rPr>
                  <w:rStyle w:val="Hyperlink"/>
                </w:rPr>
                <w:t xml:space="preserve">GitHub</w:t>
              </w:r>
            </w:hyperlink>
          </w:p>
        </w:tc>
      </w:tr>
      <w:tr>
        <w:tc>
          <w:tcPr>
            <w:tcW w:w="4680" w:type="dxa"/>
          </w:tcPr>
          <w:p>
            <w:pPr/>
            <w:r>
              <w:t xml:space="preserve">Conover et al. 2023. Free Dolly (databricks-dolly-15k)</w:t>
            </w:r>
          </w:p>
        </w:tc>
        <w:tc>
          <w:tcPr>
            <w:tcW w:w="4680" w:type="dxa"/>
          </w:tcPr>
          <w:p>
            <w:pPr/>
            <w:r>
              <w:t xml:space="preserve">Search the title</w:t>
            </w:r>
          </w:p>
        </w:tc>
      </w:tr>
      <w:tr>
        <w:tc>
          <w:tcPr>
            <w:tcW w:w="4680" w:type="dxa"/>
          </w:tcPr>
          <w:p>
            <w:pPr/>
            <w:r>
              <w:t xml:space="preserve">Friedrich et al. 2025. M-ALERT (multilingual safety)</w:t>
            </w:r>
          </w:p>
        </w:tc>
        <w:tc>
          <w:tcPr>
            <w:tcW w:w="4680" w:type="dxa"/>
          </w:tcPr>
          <w:p>
            <w:pPr/>
            <w:hyperlink r:id="rId45" w:history="1">
              <w:r>
                <w:rPr>
                  <w:rStyle w:val="Hyperlink"/>
                </w:rPr>
                <w:t xml:space="preserve">arXiv †</w:t>
              </w:r>
            </w:hyperlink>
          </w:p>
        </w:tc>
      </w:tr>
      <w:tr>
        <w:tc>
          <w:tcPr>
            <w:tcW w:w="4680" w:type="dxa"/>
          </w:tcPr>
          <w:p>
            <w:pPr/>
            <w:r>
              <w:t xml:space="preserve">Vongpradit et al. 2024. SafeCultural</w:t>
            </w:r>
          </w:p>
        </w:tc>
        <w:tc>
          <w:tcPr>
            <w:tcW w:w="4680" w:type="dxa"/>
          </w:tcPr>
          <w:p>
            <w:pPr/>
            <w:r>
              <w:t xml:space="preserve">Search the title</w:t>
            </w:r>
          </w:p>
        </w:tc>
      </w:tr>
      <w:tr>
        <w:tc>
          <w:tcPr>
            <w:tcW w:w="4680" w:type="dxa"/>
          </w:tcPr>
          <w:p>
            <w:pPr/>
            <w:r>
              <w:t xml:space="preserve">Abacha et al. 2024. MEDEC (cited only for a GPT-4o-mini size estimate)</w:t>
            </w:r>
          </w:p>
        </w:tc>
        <w:tc>
          <w:tcPr>
            <w:tcW w:w="4680" w:type="dxa"/>
          </w:tcPr>
          <w:p>
            <w:pPr/>
            <w:hyperlink r:id="rId46" w:history="1">
              <w:r>
                <w:rPr>
                  <w:rStyle w:val="Hyperlink"/>
                </w:rPr>
                <w:t xml:space="preserve">arXiv</w:t>
              </w:r>
            </w:hyperlink>
          </w:p>
        </w:tc>
      </w:tr>
    </w:tbl>
    <w:p>
      <w:pPr>
        <w:pStyle w:val="Heading2"/>
      </w:pPr>
      <w:r>
        <w:t xml:space="preserve">4. Suggested reading order (about 2 weeks)</w:t>
      </w:r>
    </w:p>
    <w:p>
      <w:pPr>
        <w:pStyle w:val="ListParagraph"/>
        <w:numPr>
          <w:ilvl w:val="0"/>
          <w:numId w:val="4"/>
        </w:numPr>
      </w:pPr>
      <w:r>
        <w:t xml:space="preserve">Fraser et al. 2025. Read it twice.</w:t>
      </w:r>
    </w:p>
    <w:p>
      <w:pPr>
        <w:pStyle w:val="ListParagraph"/>
        <w:numPr>
          <w:ilvl w:val="0"/>
          <w:numId w:val="4"/>
        </w:numPr>
      </w:pPr>
      <w:r>
        <w:t xml:space="preserve">Qi et al. 2024.</w:t>
      </w:r>
    </w:p>
    <w:p>
      <w:pPr>
        <w:pStyle w:val="ListParagraph"/>
        <w:numPr>
          <w:ilvl w:val="0"/>
          <w:numId w:val="4"/>
        </w:numPr>
      </w:pPr>
      <w:r>
        <w:t xml:space="preserve">Xie et al. 2025 (SORRY-Bench), including its judge model.</w:t>
      </w:r>
    </w:p>
    <w:p>
      <w:pPr>
        <w:pStyle w:val="ListParagraph"/>
        <w:numPr>
          <w:ilvl w:val="0"/>
          <w:numId w:val="4"/>
        </w:numPr>
      </w:pPr>
      <w:r>
        <w:t xml:space="preserve">Beyer et al. 2025.</w:t>
      </w:r>
    </w:p>
    <w:p>
      <w:pPr>
        <w:pStyle w:val="ListParagraph"/>
        <w:numPr>
          <w:ilvl w:val="0"/>
          <w:numId w:val="4"/>
        </w:numPr>
      </w:pPr>
      <w:r>
        <w:t xml:space="preserve">Vishnubhotla et al. 2026. Check what it already covers before choosing your extension.</w:t>
      </w:r>
    </w:p>
    <w:p>
      <w:pPr>
        <w:pStyle w:val="ListParagraph"/>
        <w:numPr>
          <w:ilvl w:val="0"/>
          <w:numId w:val="4"/>
        </w:numPr>
      </w:pPr>
      <w:r>
        <w:t xml:space="preserve">If needed: He et al. 2024, Lyu et al. 2024, Kumar et al. 2024.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506.17209" TargetMode="External"/><Relationship Id="rId4" Type="http://schemas.openxmlformats.org/officeDocument/2006/relationships/hyperlink" Target="https://aclanthology.org/2025.llmsec-1.10/" TargetMode="External"/><Relationship Id="rId5" Type="http://schemas.openxmlformats.org/officeDocument/2006/relationships/hyperlink" Target="https://huggingface.co/meta-llama/Llama-3.2-1B" TargetMode="External"/><Relationship Id="rId6" Type="http://schemas.openxmlformats.org/officeDocument/2006/relationships/hyperlink" Target="https://huggingface.co/mistralai/Mistral-7B-v0.3" TargetMode="External"/><Relationship Id="rId7" Type="http://schemas.openxmlformats.org/officeDocument/2006/relationships/hyperlink" Target="https://github.com/tatsu-lab/stanford_alpaca" TargetMode="External"/><Relationship Id="rId8" Type="http://schemas.openxmlformats.org/officeDocument/2006/relationships/hyperlink" Target="https://github.com/SORRY-Bench/SORRY-Bench" TargetMode="External"/><Relationship Id="rId9" Type="http://schemas.openxmlformats.org/officeDocument/2006/relationships/hyperlink" Target="https://perspectiveapi.com/" TargetMode="External"/><Relationship Id="rId10" Type="http://schemas.openxmlformats.org/officeDocument/2006/relationships/hyperlink" Target="https://arxiv.org/abs/2606.03648" TargetMode="External"/><Relationship Id="rId11" Type="http://schemas.openxmlformats.org/officeDocument/2006/relationships/hyperlink" Target="https://www.jair.org/index.php/jair/article/view/16665" TargetMode="External"/><Relationship Id="rId12" Type="http://schemas.openxmlformats.org/officeDocument/2006/relationships/hyperlink" Target="https://aclanthology.org/2025.findings-acl.695.pdf" TargetMode="External"/><Relationship Id="rId13" Type="http://schemas.openxmlformats.org/officeDocument/2006/relationships/hyperlink" Target="https://arxiv.org/abs/2609.11758" TargetMode="External"/><Relationship Id="rId14" Type="http://schemas.openxmlformats.org/officeDocument/2006/relationships/hyperlink" Target="https://scholar.google.ca/citations?user=uGeC7NMAAAAJ&amp;hl=en" TargetMode="External"/><Relationship Id="rId15" Type="http://schemas.openxmlformats.org/officeDocument/2006/relationships/hyperlink" Target="https://katiefraser.github.io/" TargetMode="External"/><Relationship Id="rId16" Type="http://schemas.openxmlformats.org/officeDocument/2006/relationships/hyperlink" Target="https://arxiv.org/abs/2310.03693" TargetMode="External"/><Relationship Id="rId17" Type="http://schemas.openxmlformats.org/officeDocument/2006/relationships/hyperlink" Target="https://arxiv.org/abs/2402.18540" TargetMode="External"/><Relationship Id="rId18" Type="http://schemas.openxmlformats.org/officeDocument/2006/relationships/hyperlink" Target="https://arxiv.org/abs/2404.01099" TargetMode="External"/><Relationship Id="rId19" Type="http://schemas.openxmlformats.org/officeDocument/2006/relationships/hyperlink" Target="https://arxiv.org/abs/2502.17424" TargetMode="External"/><Relationship Id="rId20" Type="http://schemas.openxmlformats.org/officeDocument/2006/relationships/hyperlink" Target="https://arxiv.org/abs/2502.09673" TargetMode="External"/><Relationship Id="rId21" Type="http://schemas.openxmlformats.org/officeDocument/2006/relationships/hyperlink" Target="https://arxiv.org/abs/2404.04392" TargetMode="External"/><Relationship Id="rId22" Type="http://schemas.openxmlformats.org/officeDocument/2006/relationships/hyperlink" Target="https://arxiv.org/abs/2310.20624" TargetMode="External"/><Relationship Id="rId23" Type="http://schemas.openxmlformats.org/officeDocument/2006/relationships/hyperlink" Target="https://arxiv.org/abs/2310.02949" TargetMode="External"/><Relationship Id="rId24" Type="http://schemas.openxmlformats.org/officeDocument/2006/relationships/hyperlink" Target="https://arxiv.org/abs/2311.05553" TargetMode="External"/><Relationship Id="rId25" Type="http://schemas.openxmlformats.org/officeDocument/2006/relationships/hyperlink" Target="https://arxiv.org/abs/2408.02946" TargetMode="External"/><Relationship Id="rId26" Type="http://schemas.openxmlformats.org/officeDocument/2006/relationships/hyperlink" Target="https://arxiv.org/abs/2406.14598" TargetMode="External"/><Relationship Id="rId27" Type="http://schemas.openxmlformats.org/officeDocument/2006/relationships/hyperlink" Target="https://arxiv.org/abs/2402.04249" TargetMode="External"/><Relationship Id="rId28" Type="http://schemas.openxmlformats.org/officeDocument/2006/relationships/hyperlink" Target="https://arxiv.org/abs/2404.12241" TargetMode="External"/><Relationship Id="rId29" Type="http://schemas.openxmlformats.org/officeDocument/2006/relationships/hyperlink" Target="https://arxiv.org/abs/2311.08370" TargetMode="External"/><Relationship Id="rId30" Type="http://schemas.openxmlformats.org/officeDocument/2006/relationships/hyperlink" Target="https://arxiv.org/abs/2308.13387" TargetMode="External"/><Relationship Id="rId31" Type="http://schemas.openxmlformats.org/officeDocument/2006/relationships/hyperlink" Target="https://arxiv.org/abs/2309.07875" TargetMode="External"/><Relationship Id="rId32" Type="http://schemas.openxmlformats.org/officeDocument/2006/relationships/hyperlink" Target="https://arxiv.org/abs/2403.03744" TargetMode="External"/><Relationship Id="rId33" Type="http://schemas.openxmlformats.org/officeDocument/2006/relationships/hyperlink" Target="https://arxiv.org/abs/2403.03218" TargetMode="External"/><Relationship Id="rId34" Type="http://schemas.openxmlformats.org/officeDocument/2006/relationships/hyperlink" Target="https://arxiv.org/abs/2310.17884" TargetMode="External"/><Relationship Id="rId35" Type="http://schemas.openxmlformats.org/officeDocument/2006/relationships/hyperlink" Target="https://arxiv.org/abs/2310.00905" TargetMode="External"/><Relationship Id="rId36" Type="http://schemas.openxmlformats.org/officeDocument/2006/relationships/hyperlink" Target="https://arxiv.org/abs/2311.04124" TargetMode="External"/><Relationship Id="rId37" Type="http://schemas.openxmlformats.org/officeDocument/2006/relationships/hyperlink" Target="https://arxiv.org/abs/2309.11830" TargetMode="External"/><Relationship Id="rId38" Type="http://schemas.openxmlformats.org/officeDocument/2006/relationships/hyperlink" Target="https://arxiv.org/abs/2311.00286" TargetMode="External"/><Relationship Id="rId39" Type="http://schemas.openxmlformats.org/officeDocument/2006/relationships/hyperlink" Target="https://arxiv.org/abs/2304.10436" TargetMode="External"/><Relationship Id="rId40" Type="http://schemas.openxmlformats.org/officeDocument/2006/relationships/hyperlink" Target="https://arxiv.org/abs/2503.02574" TargetMode="External"/><Relationship Id="rId41" Type="http://schemas.openxmlformats.org/officeDocument/2006/relationships/hyperlink" Target="https://arxiv.org/abs/2401.05561" TargetMode="External"/><Relationship Id="rId42" Type="http://schemas.openxmlformats.org/officeDocument/2006/relationships/hyperlink" Target="https://arxiv.org/abs/2402.10260" TargetMode="External"/><Relationship Id="rId43" Type="http://schemas.openxmlformats.org/officeDocument/2006/relationships/hyperlink" Target="https://arxiv.org/abs/2308.01263" TargetMode="External"/><Relationship Id="rId44" Type="http://schemas.openxmlformats.org/officeDocument/2006/relationships/hyperlink" Target="https://arxiv.org/abs/2407.12043" TargetMode="External"/><Relationship Id="rId45" Type="http://schemas.openxmlformats.org/officeDocument/2006/relationships/hyperlink" Target="https://arxiv.org/abs/2412.15035" TargetMode="External"/><Relationship Id="rId46" Type="http://schemas.openxmlformats.org/officeDocument/2006/relationships/hyperlink" Target="https://arxiv.org/abs/2412.1926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Reading Guide Fraser et al. (2025), Fine-Tuning and LLM Safety</dc:title>
  <dc:description>Claude Docs node/f64a495f-c2a0@1 docx-w6</dc:description>
  <cp:revision>1</cp:revision>
</cp:coreProperties>
</file>