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Milestone 3 – Task 1: Modelling</w:t>
      </w:r>
    </w:p>
    <w:p>
      <w:pPr>
        <w:pBdr>
          <w:bottom w:val="single" w:color="1F3864" w:sz="8" w:space="4"/>
        </w:pBdr>
        <w:spacing w:after="240"/>
      </w:pPr>
      <w:r>
        <w:rPr>
          <w:color w:val="595959"/>
          <w:sz w:val="26"/>
          <w:szCs w:val="26"/>
        </w:rPr>
        <w:t xml:space="preserve">Predicting household food insecurity in South Africa</w:t>
      </w:r>
    </w:p>
    <w:p>
      <w:pPr>
        <w:pStyle w:val="Heading1"/>
      </w:pPr>
      <w:r>
        <w:t xml:space="preserve">1. Analytical question and modelling task</w:t>
      </w:r>
    </w:p>
    <w:p>
      <w:pPr>
        <w:spacing w:after="120" w:line="276"/>
      </w:pPr>
      <w:r>
        <w:t xml:space="preserve">Can household demographic, housing, basic-service access and resource characteristics be used to predict whether a South African household is food insecure?</w:t>
      </w:r>
    </w:p>
    <w:p>
      <w:pPr>
        <w:spacing w:after="120" w:line="276"/>
      </w:pPr>
      <w:r>
        <w:rPr>
          <w:b/>
          <w:bCs/>
        </w:rPr>
        <w:t xml:space="preserve">Target: </w:t>
      </w:r>
      <w:r>
        <w:t xml:space="preserve">FoodInsecure_flag (1 = food insecure, 0 = not food insecure). About 18.4% of households are food insecure in both the training (3,043 of 16,548) and test (760 of 4,136) data.</w:t>
      </w:r>
    </w:p>
    <w:p>
      <w:pPr>
        <w:spacing w:after="120" w:line="276"/>
      </w:pPr>
      <w:r>
        <w:rPr>
          <w:b/>
          <w:bCs/>
        </w:rPr>
        <w:t xml:space="preserve">Modelling task: </w:t>
      </w:r>
      <w:r>
        <w:t xml:space="preserve">supervised binary classification. The response has two classes, and the aim is both to predict households at risk and to understand which household characteristics help identify that risk.</w:t>
      </w:r>
    </w:p>
    <w:p>
      <w:pPr>
        <w:pStyle w:val="Heading1"/>
      </w:pPr>
      <w:r>
        <w:t xml:space="preserve">2. Candidate modelling approaches</w:t>
      </w:r>
    </w:p>
    <w:p>
      <w:pPr>
        <w:pStyle w:val="Heading2"/>
      </w:pPr>
      <w:r>
        <w:t xml:space="preserve">2.1 Logistic regression</w:t>
      </w:r>
    </w:p>
    <w:p>
      <w:pPr>
        <w:spacing w:after="120" w:line="276"/>
      </w:pPr>
      <w:r>
        <w:t xml:space="preserve">Logistic regression (binomial family, logit link, fitted with glm) models the probability that a household is food insecure from its characteristics. It was chosen because the outcome is binary and because its coefficients convert to odds ratios, which show the direction and strength of each association and are easy to explain to a non-technical audience.</w:t>
      </w:r>
    </w:p>
    <w:p>
      <w:pPr>
        <w:spacing w:after="120" w:line="276"/>
      </w:pPr>
      <w:r>
        <w:rPr>
          <w:b/>
          <w:bCs/>
        </w:rPr>
        <w:t xml:space="preserve">Assumptions: </w:t>
      </w:r>
      <w:r>
        <w:t xml:space="preserve">a linear relationship between continuous predictors and the log-odds of the outcome; no severe multicollinearity among predictors; independent observations.</w:t>
      </w:r>
    </w:p>
    <w:p>
      <w:pPr>
        <w:pStyle w:val="Heading2"/>
      </w:pPr>
      <w:r>
        <w:t xml:space="preserve">2.2 Random forest</w:t>
      </w:r>
    </w:p>
    <w:p>
      <w:pPr>
        <w:spacing w:after="120" w:line="276"/>
      </w:pPr>
      <w:r>
        <w:t xml:space="preserve">A random forest (ranger engine) builds many decision trees on bootstrap samples and averages their predictions. It was chosen as a flexible second approach because it can capture non-linear effects and interactions between household characteristics without these being specified in advance. Comparing it with logistic regression contrasts an interpretable statistical model with a more flexible tree-based model.</w:t>
      </w:r>
    </w:p>
    <w:p>
      <w:pPr>
        <w:spacing w:after="120" w:line="276"/>
      </w:pPr>
      <w:r>
        <w:rPr>
          <w:b/>
          <w:bCs/>
        </w:rPr>
        <w:t xml:space="preserve">Assumptions: </w:t>
      </w:r>
      <w:r>
        <w:t xml:space="preserve">very few statistical assumptions; it does not require linearity or a particular distribution of the predictors.</w:t>
      </w:r>
    </w:p>
    <w:p>
      <w:pPr>
        <w:spacing w:after="120" w:line="276"/>
      </w:pPr>
      <w:r>
        <w:t xml:space="preserve">For both models it is assumed that variables are correctly cleaned and coded, that missing values are handled appropriately, and that no information from validation or test data is used when fitting preprocessing steps or training the models.</w:t>
      </w:r>
    </w:p>
    <w:p>
      <w:pPr>
        <w:pStyle w:val="Heading2"/>
      </w:pPr>
      <w:r>
        <w:t xml:space="preserve">2.3 Parameter choices</w:t>
      </w:r>
    </w:p>
    <w:p>
      <w:pPr>
        <w:pStyle w:val="ListParagraph"/>
        <w:numPr>
          <w:ilvl w:val="0"/>
          <w:numId w:val="2"/>
        </w:numPr>
        <w:spacing w:after="60"/>
      </w:pPr>
      <w:r>
        <w:rPr>
          <w:b/>
          <w:bCs/>
        </w:rPr>
        <w:t xml:space="preserve">Random forest: </w:t>
      </w:r>
      <w:r>
        <w:t xml:space="preserve">500 trees; mtry (predictors tried at each split) and min_n (minimum observations in a node to split) were tuned. A 5 × 5 regular grid was used, with mtry from 2 to 41 (about half of the 82 predictors after preprocessing) and min_n from 2 to 20, giving 25 combinations.</w:t>
      </w:r>
    </w:p>
    <w:p>
      <w:pPr>
        <w:pStyle w:val="ListParagraph"/>
        <w:numPr>
          <w:ilvl w:val="0"/>
          <w:numId w:val="2"/>
        </w:numPr>
        <w:spacing w:after="60"/>
      </w:pPr>
      <w:r>
        <w:rPr>
          <w:b/>
          <w:bCs/>
        </w:rPr>
        <w:t xml:space="preserve">Logistic regression: </w:t>
      </w:r>
      <w:r>
        <w:t xml:space="preserve">no tuning parameters; fitted with default settings after correlation and linear-dependency filtering in preprocessing.</w:t>
      </w:r>
    </w:p>
    <w:p>
      <w:pPr>
        <w:pStyle w:val="ListParagraph"/>
        <w:numPr>
          <w:ilvl w:val="0"/>
          <w:numId w:val="2"/>
        </w:numPr>
        <w:spacing w:after="60"/>
      </w:pPr>
      <w:r>
        <w:rPr>
          <w:b/>
          <w:bCs/>
        </w:rPr>
        <w:t xml:space="preserve">Selection metric: </w:t>
      </w:r>
      <w:r>
        <w:t xml:space="preserve">ROC AUC from cross-validation, because it does not depend on a single probability cut-off and is suited to an imbalanced outcome.</w:t>
      </w:r>
    </w:p>
    <w:p>
      <w:pPr>
        <w:pStyle w:val="Heading1"/>
      </w:pPr>
      <w:r>
        <w:t xml:space="preserve">3. Data preparation and preprocessing</w:t>
      </w:r>
    </w:p>
    <w:p>
      <w:pPr>
        <w:spacing w:after="120" w:line="276"/>
      </w:pPr>
      <w:r>
        <w:t xml:space="preserve">Modelling used the training and test datasets from Milestone 2. Preprocessing has two parts.</w:t>
      </w:r>
    </w:p>
    <w:p>
      <w:pPr>
        <w:spacing w:after="120" w:line="276"/>
      </w:pPr>
      <w:r>
        <w:rPr>
          <w:b/>
          <w:bCs/>
        </w:rPr>
        <w:t xml:space="preserve">Fixed (stateless) cleaning, applied identically to both datasets: </w:t>
      </w:r>
      <w:r>
        <w:t xml:space="preserve">codes meaning "unknown" (9 or 99) in ordinal columns were set to missing; nominal survey codes (for example province, wall and roof material, toilet and water source) were converted to factors, because their numeric size has no meaning; and the target was converted to a factor with the positive class (food insecure) as the first level.</w:t>
      </w:r>
    </w:p>
    <w:p>
      <w:pPr>
        <w:spacing w:after="120" w:line="276"/>
      </w:pPr>
      <w:r>
        <w:rPr>
          <w:b/>
          <w:bCs/>
        </w:rPr>
        <w:t xml:space="preserve">Learned preprocessing, fitted inside each cross-validation fold: </w:t>
      </w:r>
      <w:r>
        <w:t xml:space="preserve">implemented as a recipe attached to each workflow, so every step is estimated only on the analysis part of a fold and then applied to the held-out part.</w:t>
      </w:r>
    </w:p>
    <w:p>
      <w:pPr>
        <w:pStyle w:val="ListParagraph"/>
        <w:numPr>
          <w:ilvl w:val="0"/>
          <w:numId w:val="2"/>
        </w:numPr>
        <w:spacing w:after="60"/>
      </w:pPr>
      <w:r>
        <w:t xml:space="preserve">Removal of redundant and constant columns: duplicate geography and weight columns, raw columns that already have a cleaned version (for example RentRaw, TotalRooms), raw text or extreme-outlier columns, and constant survey-year columns.</w:t>
      </w:r>
    </w:p>
    <w:p>
      <w:pPr>
        <w:pStyle w:val="ListParagraph"/>
        <w:numPr>
          <w:ilvl w:val="0"/>
          <w:numId w:val="2"/>
        </w:numPr>
        <w:spacing w:after="60"/>
      </w:pPr>
      <w:r>
        <w:t xml:space="preserve">A missing-value indicator for rent, then median imputation of numeric predictors and mode imputation of categorical predictors.</w:t>
      </w:r>
    </w:p>
    <w:p>
      <w:pPr>
        <w:pStyle w:val="ListParagraph"/>
        <w:numPr>
          <w:ilvl w:val="0"/>
          <w:numId w:val="2"/>
        </w:numPr>
        <w:spacing w:after="60"/>
      </w:pPr>
      <w:r>
        <w:t xml:space="preserve">Handling of unseen category levels, and pooling of categories below 1% frequency into an "other" level.</w:t>
      </w:r>
    </w:p>
    <w:p>
      <w:pPr>
        <w:pStyle w:val="ListParagraph"/>
        <w:numPr>
          <w:ilvl w:val="0"/>
          <w:numId w:val="2"/>
        </w:numPr>
        <w:spacing w:after="60"/>
      </w:pPr>
      <w:r>
        <w:t xml:space="preserve">Dummy coding of categorical predictors, then removal of zero-variance and near-zero-variance columns.</w:t>
      </w:r>
    </w:p>
    <w:p>
      <w:pPr>
        <w:pStyle w:val="ListParagraph"/>
        <w:numPr>
          <w:ilvl w:val="0"/>
          <w:numId w:val="2"/>
        </w:numPr>
        <w:spacing w:after="60"/>
      </w:pPr>
      <w:r>
        <w:t xml:space="preserve">Removal of predictors with pairwise correlation above 0.95 (this removed Age_median and nine other columns, such as WaterMeterCode, PaysForWaterCode and several province dummies) and of exact linear combinations.</w:t>
      </w:r>
    </w:p>
    <w:p>
      <w:pPr>
        <w:pStyle w:val="ListParagraph"/>
        <w:numPr>
          <w:ilvl w:val="0"/>
          <w:numId w:val="2"/>
        </w:numPr>
        <w:spacing w:after="60"/>
      </w:pPr>
      <w:r>
        <w:t xml:space="preserve">Standardisation of numeric predictors to mean 0 and standard deviation 1.</w:t>
      </w:r>
    </w:p>
    <w:p>
      <w:pPr>
        <w:spacing w:after="120" w:line="276"/>
      </w:pPr>
      <w:r>
        <w:t xml:space="preserve">After preprocessing there were 82 predictors and no missing values.</w:t>
      </w:r>
    </w:p>
    <w:p>
      <w:pPr>
        <w:pStyle w:val="Heading1"/>
      </w:pPr>
      <w:r>
        <w:t xml:space="preserve">4. Training, testing and evaluation procedure</w:t>
      </w:r>
    </w:p>
    <w:p>
      <w:pPr>
        <w:pStyle w:val="ListParagraph"/>
        <w:numPr>
          <w:ilvl w:val="0"/>
          <w:numId w:val="2"/>
        </w:numPr>
        <w:spacing w:after="60"/>
      </w:pPr>
      <w:r>
        <w:t xml:space="preserve">Resampling: 5-fold cross-validation on the training data, stratified by the target so that each fold keeps the 18% food-insecure share. The same folds were used for both models so the comparison is fair (seed 381).</w:t>
      </w:r>
    </w:p>
    <w:p>
      <w:pPr>
        <w:pStyle w:val="ListParagraph"/>
        <w:numPr>
          <w:ilvl w:val="0"/>
          <w:numId w:val="2"/>
        </w:numPr>
        <w:spacing w:after="60"/>
      </w:pPr>
      <w:r>
        <w:t xml:space="preserve">Tuning: the 25 random forest combinations were evaluated on these folds and the one with the highest mean ROC AUC was selected (mtry = 11, min_n = 2).</w:t>
      </w:r>
    </w:p>
    <w:p>
      <w:pPr>
        <w:pStyle w:val="ListParagraph"/>
        <w:numPr>
          <w:ilvl w:val="0"/>
          <w:numId w:val="2"/>
        </w:numPr>
        <w:spacing w:after="60"/>
      </w:pPr>
      <w:r>
        <w:t xml:space="preserve">Final models: logistic regression and the tuned random forest were refitted on the full training set.</w:t>
      </w:r>
    </w:p>
    <w:p>
      <w:pPr>
        <w:pStyle w:val="ListParagraph"/>
        <w:numPr>
          <w:ilvl w:val="0"/>
          <w:numId w:val="2"/>
        </w:numPr>
        <w:spacing w:after="60"/>
      </w:pPr>
      <w:r>
        <w:t xml:space="preserve">Testing: each final model was evaluated once on the held-out test set. The test data was not used for tuning or model selection.</w:t>
      </w:r>
    </w:p>
    <w:p>
      <w:pPr>
        <w:pStyle w:val="ListParagraph"/>
        <w:numPr>
          <w:ilvl w:val="0"/>
          <w:numId w:val="2"/>
        </w:numPr>
        <w:spacing w:after="60"/>
      </w:pPr>
      <w:r>
        <w:t xml:space="preserve">Metrics: accuracy, precision, recall, F1 and ROC AUC, with food insecure as the positive class and a 0.5 probability cut-off for class predictions. Because a model that always predicts "not food insecure" would score about 81.6% accuracy, precision, recall and ROC AUC are more informative than accuracy.</w:t>
      </w:r>
    </w:p>
    <w:p>
      <w:pPr>
        <w:pStyle w:val="Heading1"/>
      </w:pPr>
      <w:r>
        <w:t xml:space="preserve">5. Results</w:t>
      </w:r>
    </w:p>
    <w:p>
      <w:pPr>
        <w:pStyle w:val="Heading2"/>
      </w:pPr>
      <w:r>
        <w:t xml:space="preserve">5.1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Model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Accuracy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Precision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Recall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F1</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ROC AUC</w:t>
            </w:r>
          </w:p>
        </w:tc>
      </w:tr>
      <w:t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Logistic regression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0.608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0.278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0.381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0.819</w:t>
            </w:r>
          </w:p>
        </w:tc>
      </w:tr>
      <w:t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Random forest (tuned)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0.843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0.715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0.246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0.366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0.830</w:t>
            </w:r>
          </w:p>
        </w:tc>
      </w:tr>
    </w:tbl>
    <w:p>
      <w:pPr>
        <w:spacing w:after="200" w:before="60"/>
      </w:pPr>
      <w:r>
        <w:rPr>
          <w:i/>
          <w:iCs/>
          <w:sz w:val="20"/>
          <w:szCs w:val="20"/>
        </w:rPr>
        <w:t xml:space="preserve">Table 1. Mean 5-fold cross-validation metrics (standard error of ROC AUC: 0.0033 for logistic regression, 0.0018 for random forest).</w:t>
      </w:r>
    </w:p>
    <w:p>
      <w:pPr>
        <w:pStyle w:val="Heading2"/>
      </w:pPr>
      <w:r>
        <w:t xml:space="preserve">5.2 Held-out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Model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Accuracy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Precision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Recall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F1</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ROC AUC</w:t>
            </w:r>
          </w:p>
        </w:tc>
      </w:tr>
      <w:t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Logistic regression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0.569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0.272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0.368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0.819</w:t>
            </w:r>
          </w:p>
        </w:tc>
      </w:tr>
      <w:t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Random forest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0.840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0.680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0.246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0.361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0.840</w:t>
            </w:r>
          </w:p>
        </w:tc>
      </w:tr>
    </w:tbl>
    <w:p>
      <w:pPr>
        <w:spacing w:after="200" w:before="60"/>
      </w:pPr>
      <w:r>
        <w:rPr>
          <w:i/>
          <w:iCs/>
          <w:sz w:val="20"/>
          <w:szCs w:val="20"/>
        </w:rPr>
        <w:t xml:space="preserve">Table 2. Test-set metrics (4,136 households).</w:t>
      </w: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tblGrid>
      <w:tr>
        <w:trPr>
          <w:tblHeader/>
        </w:trPr>
        <w:tc>
          <w:tcPr>
            <w:tcW w:type="dxa" w:w="2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Model / prediction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Truth: insecure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Truth: secure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Total</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Logistic: insecure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207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157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364</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Logistic: secure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553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3,219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3,772</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Random forest: insecure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187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88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275</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Random forest: secure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573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3,288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3,861</w:t>
            </w:r>
          </w:p>
        </w:tc>
      </w:tr>
    </w:tbl>
    <w:p>
      <w:pPr>
        <w:spacing w:after="200" w:before="60"/>
      </w:pPr>
      <w:r>
        <w:rPr>
          <w:i/>
          <w:iCs/>
          <w:sz w:val="20"/>
          <w:szCs w:val="20"/>
        </w:rPr>
        <w:t xml:space="preserve">Table 3. Test-set confusion matrices at the 0.5 cut-off.</w:t>
      </w:r>
    </w:p>
    <w:p>
      <w:pPr>
        <w:pStyle w:val="Heading1"/>
      </w:pPr>
      <w:r>
        <w:t xml:space="preserve">6. Model comparison</w:t>
      </w:r>
    </w:p>
    <w:p>
      <w:pPr>
        <w:spacing w:after="120" w:line="276"/>
      </w:pPr>
      <w:r>
        <w:t xml:space="preserve">The random forest has the higher ROC AUC in cross-validation (0.830 against 0.819) and on the test set (0.840 against 0.819), and it also has higher precision and accuracy. Logistic regression has slightly higher recall and F1. The cross-validation and test results are close for both models, which suggests that neither model overfits and that preprocessing did not leak information from the held-out data.</w:t>
      </w:r>
    </w:p>
    <w:p>
      <w:pPr>
        <w:spacing w:after="120" w:line="276"/>
      </w:pPr>
      <w:r>
        <w:t xml:space="preserve">The advantage of the random forest is consistent but modest, so the two approaches perform similarly overall. The random forest is more conservative: on the test set it flagged 275 households as food insecure and was right for 187 of them (68%), while logistic regression flagged 364 and was right for 207 (57%). The cross-validated AUC varied by only about 0.002 across the best random forest settings, so performance is not sensitive to the exact tuning parameters.</w:t>
      </w:r>
    </w:p>
    <w:p>
      <w:pPr>
        <w:spacing w:after="120" w:line="276"/>
      </w:pPr>
      <w:r>
        <w:rPr>
          <w:b/>
          <w:bCs/>
        </w:rPr>
        <w:t xml:space="preserve">Limitation: low recall. </w:t>
      </w:r>
      <w:r>
        <w:t xml:space="preserve">At the default 0.5 cut-off both models identify only about a quarter of food-insecure households (207 and 187 of 760). The models rank households reasonably well (AUC 0.82 to 0.84) but rarely assign them a probability above 0.5, which is typical when the positive class is 18% of the data. If the aim is to find households at risk, a lower classification threshold or class weighting would raise recall at the cost of precision. This was not applied here and is a recommended next step.</w:t>
      </w:r>
    </w:p>
    <w:p>
      <w:pPr>
        <w:pStyle w:val="Heading1"/>
      </w:pPr>
      <w:r>
        <w:t xml:space="preserve">7. Which characteristics matter</w:t>
      </w:r>
    </w:p>
    <w:p>
      <w:pPr>
        <w:pStyle w:val="Heading2"/>
      </w:pPr>
      <w:r>
        <w:t xml:space="preserve">7.1 Random forest variable importance</w:t>
      </w:r>
    </w:p>
    <w:p>
      <w:pPr>
        <w:spacing w:after="120" w:line="276"/>
      </w:pPr>
      <w:r>
        <w:t xml:space="preserve">Impurity-based importance ranks income-related variables highest, followed by age, perceived relative income, household composition and dwelling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20"/>
                <w:szCs w:val="20"/>
              </w:rPr>
              <w:t xml:space="preserve">Rank</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Variable</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Theme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Income_per_capita</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Income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Income_clean_D07</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Income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Age_mean</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Age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HeadAge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Age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ComparativeIncomeCode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Perceived relative income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SalaryEarnersInHousehold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Household composition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ExpenditureBandCode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Spending</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TotalGrantRecipients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Household composition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TotalRooms_clean</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Dwelling quality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RoofConditionCode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Dwelling quality</w:t>
            </w:r>
          </w:p>
        </w:tc>
      </w:tr>
    </w:tbl>
    <w:p>
      <w:pPr>
        <w:spacing w:after="200" w:before="60"/>
      </w:pPr>
      <w:r>
        <w:rPr>
          <w:i/>
          <w:iCs/>
          <w:sz w:val="20"/>
          <w:szCs w:val="20"/>
        </w:rPr>
        <w:t xml:space="preserve">Table 4. Ten most important variables in the tuned random forest. Importance also includes HouseholdSize_clean, WallConditionCode, Dependency_ratio, ProvinceCode_X9 and SocialGrantRecipients in the top 15.</w:t>
      </w:r>
    </w:p>
    <w:p>
      <w:pPr>
        <w:spacing w:after="120" w:line="276"/>
      </w:pPr>
      <w:r>
        <w:t xml:space="preserve">Impurity importance tends to favour continuous variables with many distinct values, so the high ranking of income and age should be read with some caution, and it does not show the direction of an effect.</w:t>
      </w:r>
    </w:p>
    <w:p>
      <w:pPr>
        <w:pStyle w:val="Heading2"/>
      </w:pPr>
      <w:r>
        <w:t xml:space="preserve">7.2 Logistic regression: direction of effects</w:t>
      </w:r>
    </w:p>
    <w:p>
      <w:pPr>
        <w:spacing w:after="120" w:line="276"/>
      </w:pPr>
      <w:r>
        <w:t xml:space="preserve">The glm engine models the probability of the second factor level (food secure). Coefficients were therefore inverted (1 divided by the odds ratio) so that they describe the odds of food insecurity. Values below 1 mean lower odds of food insecurity.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800"/>
        <w:gridCol w:w="1500"/>
        <w:gridCol w:w="2300"/>
      </w:tblGrid>
      <w:tr>
        <w:trPr>
          <w:tblHeader/>
        </w:trPr>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Predictor</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Odds ratio (insecure)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z-value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right"/>
            </w:pPr>
            <w:r>
              <w:rPr>
                <w:b/>
                <w:bCs/>
                <w:color w:val="FFFFFF"/>
                <w:sz w:val="20"/>
                <w:szCs w:val="20"/>
              </w:rPr>
              <w:t xml:space="preserve">p-value</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ProvinceCode_X9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-17.4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ComparativeIncomeCode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9.9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ExpenditureBandCode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-7.7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ProvinceClean_D05_KwaZulu.Natal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0.70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-7.5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PayTVAssetCode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7.3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ProvinceCode_X2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-7.0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Services_access_index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6.4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Income_per_capita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0.29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-6.0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RoofConditionCode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ProvinceCode_X4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0.82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&lt; 0.001</w:t>
            </w:r>
          </w:p>
        </w:tc>
      </w:tr>
    </w:tbl>
    <w:p>
      <w:pPr>
        <w:spacing w:after="200" w:before="60"/>
      </w:pPr>
      <w:r>
        <w:rPr>
          <w:i/>
          <w:iCs/>
          <w:sz w:val="20"/>
          <w:szCs w:val="20"/>
        </w:rPr>
        <w:t xml:space="preserve">Table 5. Ten most significant predictors in the logistic regression. Odds ratios are per one standard deviation for numeric predictors.</w:t>
      </w:r>
    </w:p>
    <w:p>
      <w:pPr>
        <w:pStyle w:val="ListParagraph"/>
        <w:numPr>
          <w:ilvl w:val="0"/>
          <w:numId w:val="2"/>
        </w:numPr>
        <w:spacing w:after="60"/>
      </w:pPr>
      <w:r>
        <w:t xml:space="preserve">Higher income per capita is associated with about 70% lower odds of food insecurity per standard deviation, and a higher expenditure band with about 22% lower odds.</w:t>
      </w:r>
    </w:p>
    <w:p>
      <w:pPr>
        <w:pStyle w:val="ListParagraph"/>
        <w:numPr>
          <w:ilvl w:val="0"/>
          <w:numId w:val="2"/>
        </w:numPr>
        <w:spacing w:after="60"/>
      </w:pPr>
      <w:r>
        <w:t xml:space="preserve">A worse comparative income rating (higher code) is associated with about 27% higher odds, and not owning pay TV, a marker of wealth in this data, with about 25% higher odds.</w:t>
      </w:r>
    </w:p>
    <w:p>
      <w:pPr>
        <w:pStyle w:val="ListParagraph"/>
        <w:numPr>
          <w:ilvl w:val="0"/>
          <w:numId w:val="2"/>
        </w:numPr>
        <w:spacing w:after="60"/>
      </w:pPr>
      <w:r>
        <w:t xml:space="preserve">Better roof condition is associated with lower odds. Province 9 has markedly lower odds than the reference province, consistent with its raw food insecurity rate of 3.6%.</w:t>
      </w:r>
    </w:p>
    <w:p>
      <w:pPr>
        <w:spacing w:after="120" w:line="276"/>
      </w:pPr>
      <w:r>
        <w:t xml:space="preserve">Both models therefore point to the same main drivers: household income and spending, perceived income, dwelling quality and province.</w:t>
      </w:r>
    </w:p>
    <w:p>
      <w:pPr>
        <w:pStyle w:val="Heading1"/>
      </w:pPr>
      <w:r>
        <w:t xml:space="preserve">8. Limitations and caveats</w:t>
      </w:r>
    </w:p>
    <w:p>
      <w:pPr>
        <w:pStyle w:val="ListParagraph"/>
        <w:numPr>
          <w:ilvl w:val="0"/>
          <w:numId w:val="2"/>
        </w:numPr>
        <w:spacing w:after="60"/>
      </w:pPr>
      <w:r>
        <w:t xml:space="preserve">Numeric predictors and dummy variables were standardised, so odds ratios are per standard deviation and the province odds ratios are not the usual contrast against a reference province. The direction is reliable, but sizes should be compared only loosely.</w:t>
      </w:r>
    </w:p>
    <w:p>
      <w:pPr>
        <w:pStyle w:val="ListParagraph"/>
        <w:numPr>
          <w:ilvl w:val="0"/>
          <w:numId w:val="2"/>
        </w:numPr>
        <w:spacing w:after="60"/>
      </w:pPr>
      <w:r>
        <w:t xml:space="preserve">Income is strongly right-skewed (median about R1,950, maximum R365,000), so its coefficient is imprecise. A log transformation is a possible improvement.</w:t>
      </w:r>
    </w:p>
    <w:p>
      <w:pPr>
        <w:pStyle w:val="ListParagraph"/>
        <w:numPr>
          <w:ilvl w:val="0"/>
          <w:numId w:val="2"/>
        </w:numPr>
        <w:spacing w:after="60"/>
      </w:pPr>
      <w:r>
        <w:t xml:space="preserve">Some predictors overlap (income, expenditure and service access), so individual coefficients are conditional effects and should not be read causally. Services_access_index has a positive odds ratio even though its raw correlation with food insecurity is slightly negative, because of this overlap.</w:t>
      </w:r>
    </w:p>
    <w:p>
      <w:pPr>
        <w:pStyle w:val="ListParagraph"/>
        <w:numPr>
          <w:ilvl w:val="0"/>
          <w:numId w:val="2"/>
        </w:numPr>
        <w:spacing w:after="60"/>
      </w:pPr>
      <w:r>
        <w:t xml:space="preserve">ExpenditureBandCode is not monotone: food insecurity falls from band 1 to band 12 but rises again in band 13, so a linear effect is only an approximation.</w:t>
      </w:r>
    </w:p>
    <w:p>
      <w:pPr>
        <w:pStyle w:val="ListParagraph"/>
        <w:numPr>
          <w:ilvl w:val="0"/>
          <w:numId w:val="2"/>
        </w:numPr>
        <w:spacing w:after="60"/>
      </w:pPr>
      <w:r>
        <w:t xml:space="preserve">The glm fit produced a warning that some fitted probabilities were numerically 0 or 1, which suggests near-separation for some predictors. A regularised logistic regression would address this.</w:t>
      </w:r>
    </w:p>
    <w:p>
      <w:pPr>
        <w:pStyle w:val="ListParagraph"/>
        <w:numPr>
          <w:ilvl w:val="0"/>
          <w:numId w:val="2"/>
        </w:numPr>
        <w:spacing w:after="60"/>
      </w:pPr>
      <w:r>
        <w:t xml:space="preserve">Tuning results for the random forest were saved to file so the report renders quickly. Re-running the tuning code reproduces them.</w:t>
      </w:r>
    </w:p>
    <w:p>
      <w:pPr>
        <w:pStyle w:val="Heading1"/>
      </w:pPr>
      <w:r>
        <w:t xml:space="preserve">9. Conclusion and next steps</w:t>
      </w:r>
    </w:p>
    <w:p>
      <w:pPr>
        <w:spacing w:after="120" w:line="276"/>
      </w:pPr>
      <w:r>
        <w:t xml:space="preserve">Food insecurity can be predicted from household characteristics with moderate discrimination (test ROC AUC of 0.82 for logistic regression and 0.84 for the random forest). The random forest is the better ranker and is more precise, while logistic regression is easier to interpret and finds slightly more at-risk households. Both agree that income, spending, perceived income, dwelling quality and province are the main drivers.</w:t>
      </w:r>
    </w:p>
    <w:p>
      <w:pPr>
        <w:spacing w:after="120" w:line="276"/>
      </w:pPr>
      <w:r>
        <w:t xml:space="preserve">Recommended next steps are to tune the classification threshold (or add class weights) to raise recall, to apply a log transformation to income, and to test a regularised logistic regression.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Milestone 3</dc:creator>
  <cp:lastModifiedBy>Un-named</cp:lastModifiedBy>
  <cp:revision>1</cp:revision>
  <dcterms:created xsi:type="dcterms:W3CDTF">2026-10-02T19:32:21.452Z</dcterms:created>
  <dcterms:modified xsi:type="dcterms:W3CDTF">2026-10-02T19:32:21.460Z</dcterms:modified>
</cp:coreProperties>
</file>

<file path=docProps/custom.xml><?xml version="1.0" encoding="utf-8"?>
<Properties xmlns="http://schemas.openxmlformats.org/officeDocument/2006/custom-properties" xmlns:vt="http://schemas.openxmlformats.org/officeDocument/2006/docPropsVTypes"/>
</file>