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F5F1BD" w14:textId="32B25953" w:rsidR="00C20EB7" w:rsidRPr="00EC7E11" w:rsidRDefault="00C20EB7" w:rsidP="00EC7E11">
      <w:pPr>
        <w:pStyle w:val="Heading1"/>
      </w:pPr>
      <w:r w:rsidRPr="0046062F">
        <w:t xml:space="preserve">Results </w:t>
      </w:r>
    </w:p>
    <w:p w14:paraId="2BE4D143" w14:textId="7DD50DBE" w:rsidR="009068A6" w:rsidRPr="0046062F" w:rsidRDefault="009068A6" w:rsidP="00EC7E11">
      <w:pPr>
        <w:pStyle w:val="Heading2"/>
      </w:pPr>
      <w:r w:rsidRPr="0046062F">
        <w:t>Models</w:t>
      </w:r>
    </w:p>
    <w:p w14:paraId="3299BAC0" w14:textId="69F5CF92" w:rsidR="00C20EB7" w:rsidRPr="0046062F" w:rsidRDefault="00C20EB7" w:rsidP="001C22DD">
      <w:pPr>
        <w:jc w:val="both"/>
        <w:rPr>
          <w:rFonts w:ascii="Calibri" w:hAnsi="Calibri" w:cs="Calibri"/>
          <w:color w:val="000000" w:themeColor="text1"/>
        </w:rPr>
      </w:pPr>
      <w:r w:rsidRPr="0046062F">
        <w:rPr>
          <w:rFonts w:ascii="Calibri" w:hAnsi="Calibri" w:cs="Calibri"/>
          <w:color w:val="000000" w:themeColor="text1"/>
        </w:rPr>
        <w:t>As previously discussed in the previous section</w:t>
      </w:r>
      <w:r w:rsidR="00ED40B2">
        <w:rPr>
          <w:rFonts w:ascii="Calibri" w:hAnsi="Calibri" w:cs="Calibri"/>
          <w:color w:val="000000" w:themeColor="text1"/>
        </w:rPr>
        <w:t xml:space="preserve"> of methodology,</w:t>
      </w:r>
      <w:r w:rsidRPr="0046062F">
        <w:rPr>
          <w:rFonts w:ascii="Calibri" w:hAnsi="Calibri" w:cs="Calibri"/>
          <w:color w:val="000000" w:themeColor="text1"/>
        </w:rPr>
        <w:t xml:space="preserve"> models were produced by using </w:t>
      </w:r>
      <w:r w:rsidR="00ED40B2">
        <w:rPr>
          <w:rFonts w:ascii="Calibri" w:hAnsi="Calibri" w:cs="Calibri"/>
          <w:color w:val="000000" w:themeColor="text1"/>
        </w:rPr>
        <w:t>MSSQL and multiple queries to select the required data</w:t>
      </w:r>
      <w:r w:rsidR="00E8098E" w:rsidRPr="0046062F">
        <w:rPr>
          <w:rFonts w:ascii="Calibri" w:hAnsi="Calibri" w:cs="Calibri"/>
          <w:color w:val="000000" w:themeColor="text1"/>
        </w:rPr>
        <w:t>. A model for each season</w:t>
      </w:r>
      <w:r w:rsidR="00ED40B2">
        <w:rPr>
          <w:rFonts w:ascii="Calibri" w:hAnsi="Calibri" w:cs="Calibri"/>
          <w:color w:val="000000" w:themeColor="text1"/>
        </w:rPr>
        <w:t xml:space="preserve"> available</w:t>
      </w:r>
      <w:r w:rsidR="00E8098E" w:rsidRPr="0046062F">
        <w:rPr>
          <w:rFonts w:ascii="Calibri" w:hAnsi="Calibri" w:cs="Calibri"/>
          <w:color w:val="000000" w:themeColor="text1"/>
        </w:rPr>
        <w:t xml:space="preserve"> was produced. </w:t>
      </w:r>
      <w:r w:rsidR="00613902" w:rsidRPr="0046062F">
        <w:rPr>
          <w:rFonts w:ascii="Calibri" w:hAnsi="Calibri" w:cs="Calibri"/>
          <w:color w:val="000000" w:themeColor="text1"/>
        </w:rPr>
        <w:t xml:space="preserve">Models </w:t>
      </w:r>
      <w:r w:rsidR="00ED40B2">
        <w:rPr>
          <w:rFonts w:ascii="Calibri" w:hAnsi="Calibri" w:cs="Calibri"/>
          <w:color w:val="000000" w:themeColor="text1"/>
        </w:rPr>
        <w:t>that do not contain the</w:t>
      </w:r>
      <w:r w:rsidR="00613902" w:rsidRPr="0046062F">
        <w:rPr>
          <w:rFonts w:ascii="Calibri" w:hAnsi="Calibri" w:cs="Calibri"/>
          <w:color w:val="000000" w:themeColor="text1"/>
        </w:rPr>
        <w:t xml:space="preserve"> ELO ratings</w:t>
      </w:r>
      <w:r w:rsidR="00ED40B2">
        <w:rPr>
          <w:rFonts w:ascii="Calibri" w:hAnsi="Calibri" w:cs="Calibri"/>
          <w:color w:val="000000" w:themeColor="text1"/>
        </w:rPr>
        <w:t xml:space="preserve"> of football teams</w:t>
      </w:r>
      <w:r w:rsidR="00E8098E" w:rsidRPr="0046062F">
        <w:rPr>
          <w:rFonts w:ascii="Calibri" w:hAnsi="Calibri" w:cs="Calibri"/>
          <w:color w:val="000000" w:themeColor="text1"/>
        </w:rPr>
        <w:t xml:space="preserve"> w</w:t>
      </w:r>
      <w:r w:rsidR="00613902" w:rsidRPr="0046062F">
        <w:rPr>
          <w:rFonts w:ascii="Calibri" w:hAnsi="Calibri" w:cs="Calibri"/>
          <w:color w:val="000000" w:themeColor="text1"/>
        </w:rPr>
        <w:t>ere</w:t>
      </w:r>
      <w:r w:rsidR="00E8098E" w:rsidRPr="0046062F">
        <w:rPr>
          <w:rFonts w:ascii="Calibri" w:hAnsi="Calibri" w:cs="Calibri"/>
          <w:color w:val="000000" w:themeColor="text1"/>
        </w:rPr>
        <w:t xml:space="preserve"> con</w:t>
      </w:r>
      <w:r w:rsidR="00613902" w:rsidRPr="0046062F">
        <w:rPr>
          <w:rFonts w:ascii="Calibri" w:hAnsi="Calibri" w:cs="Calibri"/>
          <w:color w:val="000000" w:themeColor="text1"/>
        </w:rPr>
        <w:t xml:space="preserve">structed as follows; the first </w:t>
      </w:r>
      <w:r w:rsidR="00214583" w:rsidRPr="0046062F">
        <w:rPr>
          <w:rFonts w:ascii="Calibri" w:hAnsi="Calibri" w:cs="Calibri"/>
          <w:color w:val="000000" w:themeColor="text1"/>
        </w:rPr>
        <w:t xml:space="preserve">two </w:t>
      </w:r>
      <w:r w:rsidR="00613902" w:rsidRPr="0046062F">
        <w:rPr>
          <w:rFonts w:ascii="Calibri" w:hAnsi="Calibri" w:cs="Calibri"/>
          <w:color w:val="000000" w:themeColor="text1"/>
        </w:rPr>
        <w:t>column</w:t>
      </w:r>
      <w:r w:rsidR="00214583" w:rsidRPr="0046062F">
        <w:rPr>
          <w:rFonts w:ascii="Calibri" w:hAnsi="Calibri" w:cs="Calibri"/>
          <w:color w:val="000000" w:themeColor="text1"/>
        </w:rPr>
        <w:t xml:space="preserve">s </w:t>
      </w:r>
      <w:r w:rsidR="00613902" w:rsidRPr="0046062F">
        <w:rPr>
          <w:rFonts w:ascii="Calibri" w:hAnsi="Calibri" w:cs="Calibri"/>
          <w:color w:val="000000" w:themeColor="text1"/>
        </w:rPr>
        <w:t xml:space="preserve">had the </w:t>
      </w:r>
      <w:r w:rsidR="00214583" w:rsidRPr="0046062F">
        <w:rPr>
          <w:rFonts w:ascii="Calibri" w:hAnsi="Calibri" w:cs="Calibri"/>
          <w:color w:val="000000" w:themeColor="text1"/>
        </w:rPr>
        <w:t xml:space="preserve">names of the teams involved in </w:t>
      </w:r>
      <w:r w:rsidR="00613902" w:rsidRPr="0046062F">
        <w:rPr>
          <w:rFonts w:ascii="Calibri" w:hAnsi="Calibri" w:cs="Calibri"/>
          <w:color w:val="000000" w:themeColor="text1"/>
        </w:rPr>
        <w:t xml:space="preserve">the match. The following column held the </w:t>
      </w:r>
      <w:r w:rsidR="00214583" w:rsidRPr="0046062F">
        <w:rPr>
          <w:rFonts w:ascii="Calibri" w:hAnsi="Calibri" w:cs="Calibri"/>
          <w:color w:val="000000" w:themeColor="text1"/>
        </w:rPr>
        <w:t>result</w:t>
      </w:r>
      <w:r w:rsidR="00ED40B2">
        <w:rPr>
          <w:rFonts w:ascii="Calibri" w:hAnsi="Calibri" w:cs="Calibri"/>
          <w:color w:val="000000" w:themeColor="text1"/>
        </w:rPr>
        <w:t xml:space="preserve"> at</w:t>
      </w:r>
      <w:r w:rsidR="00613902" w:rsidRPr="0046062F">
        <w:rPr>
          <w:rFonts w:ascii="Calibri" w:hAnsi="Calibri" w:cs="Calibri"/>
          <w:color w:val="000000" w:themeColor="text1"/>
        </w:rPr>
        <w:t xml:space="preserve"> the </w:t>
      </w:r>
      <w:r w:rsidR="00ED40B2">
        <w:rPr>
          <w:rFonts w:ascii="Calibri" w:hAnsi="Calibri" w:cs="Calibri"/>
          <w:color w:val="000000" w:themeColor="text1"/>
        </w:rPr>
        <w:t xml:space="preserve">end of the </w:t>
      </w:r>
      <w:r w:rsidR="00613902" w:rsidRPr="0046062F">
        <w:rPr>
          <w:rFonts w:ascii="Calibri" w:hAnsi="Calibri" w:cs="Calibri"/>
          <w:color w:val="000000" w:themeColor="text1"/>
        </w:rPr>
        <w:t>match. The rest of the columns after contained the odd</w:t>
      </w:r>
      <w:r w:rsidR="00214583" w:rsidRPr="0046062F">
        <w:rPr>
          <w:rFonts w:ascii="Calibri" w:hAnsi="Calibri" w:cs="Calibri"/>
          <w:color w:val="000000" w:themeColor="text1"/>
        </w:rPr>
        <w:t>s</w:t>
      </w:r>
      <w:r w:rsidR="00613902" w:rsidRPr="0046062F">
        <w:rPr>
          <w:rFonts w:ascii="Calibri" w:hAnsi="Calibri" w:cs="Calibri"/>
          <w:color w:val="000000" w:themeColor="text1"/>
        </w:rPr>
        <w:t xml:space="preserve"> given by </w:t>
      </w:r>
      <w:r w:rsidR="00214583" w:rsidRPr="0046062F">
        <w:rPr>
          <w:rFonts w:ascii="Calibri" w:hAnsi="Calibri" w:cs="Calibri"/>
          <w:color w:val="000000" w:themeColor="text1"/>
        </w:rPr>
        <w:t>the</w:t>
      </w:r>
      <w:r w:rsidR="00613902" w:rsidRPr="0046062F">
        <w:rPr>
          <w:rFonts w:ascii="Calibri" w:hAnsi="Calibri" w:cs="Calibri"/>
          <w:color w:val="000000" w:themeColor="text1"/>
        </w:rPr>
        <w:t xml:space="preserve"> betting compan</w:t>
      </w:r>
      <w:r w:rsidR="00214583" w:rsidRPr="0046062F">
        <w:rPr>
          <w:rFonts w:ascii="Calibri" w:hAnsi="Calibri" w:cs="Calibri"/>
          <w:color w:val="000000" w:themeColor="text1"/>
        </w:rPr>
        <w:t>ies</w:t>
      </w:r>
      <w:r w:rsidR="00613902" w:rsidRPr="0046062F">
        <w:rPr>
          <w:rFonts w:ascii="Calibri" w:hAnsi="Calibri" w:cs="Calibri"/>
          <w:color w:val="000000" w:themeColor="text1"/>
        </w:rPr>
        <w:t xml:space="preserve"> on</w:t>
      </w:r>
      <w:r w:rsidR="00ED40B2">
        <w:rPr>
          <w:rFonts w:ascii="Calibri" w:hAnsi="Calibri" w:cs="Calibri"/>
          <w:color w:val="000000" w:themeColor="text1"/>
        </w:rPr>
        <w:t xml:space="preserve"> each of</w:t>
      </w:r>
      <w:r w:rsidR="00613902" w:rsidRPr="0046062F">
        <w:rPr>
          <w:rFonts w:ascii="Calibri" w:hAnsi="Calibri" w:cs="Calibri"/>
          <w:color w:val="000000" w:themeColor="text1"/>
        </w:rPr>
        <w:t xml:space="preserve"> </w:t>
      </w:r>
      <w:r w:rsidR="00214583" w:rsidRPr="0046062F">
        <w:rPr>
          <w:rFonts w:ascii="Calibri" w:hAnsi="Calibri" w:cs="Calibri"/>
          <w:color w:val="000000" w:themeColor="text1"/>
        </w:rPr>
        <w:t>the three ways the</w:t>
      </w:r>
      <w:r w:rsidR="00613902" w:rsidRPr="0046062F">
        <w:rPr>
          <w:rFonts w:ascii="Calibri" w:hAnsi="Calibri" w:cs="Calibri"/>
          <w:color w:val="000000" w:themeColor="text1"/>
        </w:rPr>
        <w:t xml:space="preserve"> result</w:t>
      </w:r>
      <w:r w:rsidR="00214583" w:rsidRPr="0046062F">
        <w:rPr>
          <w:rFonts w:ascii="Calibri" w:hAnsi="Calibri" w:cs="Calibri"/>
          <w:color w:val="000000" w:themeColor="text1"/>
        </w:rPr>
        <w:t xml:space="preserve"> could go</w:t>
      </w:r>
      <w:r w:rsidR="00ED40B2">
        <w:rPr>
          <w:rFonts w:ascii="Calibri" w:hAnsi="Calibri" w:cs="Calibri"/>
          <w:color w:val="000000" w:themeColor="text1"/>
        </w:rPr>
        <w:t xml:space="preserve"> (Home, Draw &amp; Away)</w:t>
      </w:r>
      <w:r w:rsidR="00613902" w:rsidRPr="0046062F">
        <w:rPr>
          <w:rFonts w:ascii="Calibri" w:hAnsi="Calibri" w:cs="Calibri"/>
          <w:color w:val="000000" w:themeColor="text1"/>
        </w:rPr>
        <w:t>.</w:t>
      </w:r>
      <w:r w:rsidR="00214583" w:rsidRPr="0046062F">
        <w:rPr>
          <w:rFonts w:ascii="Calibri" w:hAnsi="Calibri" w:cs="Calibri"/>
          <w:color w:val="000000" w:themeColor="text1"/>
        </w:rPr>
        <w:t xml:space="preserve"> For models that contained ELO Ratings, the first two columns after FTR, contained the ELO ratings of the home and away team prior to the match. ELO ratings fluc</w:t>
      </w:r>
      <w:r w:rsidR="008F4FB8" w:rsidRPr="0046062F">
        <w:rPr>
          <w:rFonts w:ascii="Calibri" w:hAnsi="Calibri" w:cs="Calibri"/>
          <w:color w:val="000000" w:themeColor="text1"/>
        </w:rPr>
        <w:t>tu</w:t>
      </w:r>
      <w:r w:rsidR="00214583" w:rsidRPr="0046062F">
        <w:rPr>
          <w:rFonts w:ascii="Calibri" w:hAnsi="Calibri" w:cs="Calibri"/>
          <w:color w:val="000000" w:themeColor="text1"/>
        </w:rPr>
        <w:t>ate</w:t>
      </w:r>
      <w:r w:rsidR="008F4FB8" w:rsidRPr="0046062F">
        <w:rPr>
          <w:rFonts w:ascii="Calibri" w:hAnsi="Calibri" w:cs="Calibri"/>
          <w:color w:val="000000" w:themeColor="text1"/>
        </w:rPr>
        <w:t xml:space="preserve"> over time</w:t>
      </w:r>
      <w:r w:rsidR="00ED40B2">
        <w:rPr>
          <w:rFonts w:ascii="Calibri" w:hAnsi="Calibri" w:cs="Calibri"/>
          <w:color w:val="000000" w:themeColor="text1"/>
        </w:rPr>
        <w:t>, they increase or decrease based on the performance of the club</w:t>
      </w:r>
      <w:r w:rsidR="008F4FB8" w:rsidRPr="0046062F">
        <w:rPr>
          <w:rFonts w:ascii="Calibri" w:hAnsi="Calibri" w:cs="Calibri"/>
          <w:color w:val="000000" w:themeColor="text1"/>
        </w:rPr>
        <w:t>.</w:t>
      </w:r>
      <w:r w:rsidR="00613902" w:rsidRPr="0046062F">
        <w:rPr>
          <w:rFonts w:ascii="Calibri" w:hAnsi="Calibri" w:cs="Calibri"/>
          <w:color w:val="000000" w:themeColor="text1"/>
        </w:rPr>
        <w:t xml:space="preserve"> </w:t>
      </w:r>
      <w:r w:rsidR="008F4FB8" w:rsidRPr="0046062F">
        <w:rPr>
          <w:rFonts w:ascii="Calibri" w:hAnsi="Calibri" w:cs="Calibri"/>
          <w:color w:val="000000" w:themeColor="text1"/>
        </w:rPr>
        <w:t>Figure 1 demonstrates the</w:t>
      </w:r>
      <w:r w:rsidR="00ED40B2">
        <w:rPr>
          <w:rFonts w:ascii="Calibri" w:hAnsi="Calibri" w:cs="Calibri"/>
          <w:color w:val="000000" w:themeColor="text1"/>
        </w:rPr>
        <w:t xml:space="preserve"> complete</w:t>
      </w:r>
      <w:r w:rsidR="008F4FB8" w:rsidRPr="0046062F">
        <w:rPr>
          <w:rFonts w:ascii="Calibri" w:hAnsi="Calibri" w:cs="Calibri"/>
          <w:color w:val="000000" w:themeColor="text1"/>
        </w:rPr>
        <w:t xml:space="preserve"> structure for Models </w:t>
      </w:r>
      <w:r w:rsidR="00ED40B2">
        <w:rPr>
          <w:rFonts w:ascii="Calibri" w:hAnsi="Calibri" w:cs="Calibri"/>
          <w:color w:val="000000" w:themeColor="text1"/>
        </w:rPr>
        <w:t>that do not contain</w:t>
      </w:r>
      <w:r w:rsidR="008F4FB8" w:rsidRPr="0046062F">
        <w:rPr>
          <w:rFonts w:ascii="Calibri" w:hAnsi="Calibri" w:cs="Calibri"/>
          <w:color w:val="000000" w:themeColor="text1"/>
        </w:rPr>
        <w:t xml:space="preserve"> ELO ratings while </w:t>
      </w:r>
      <w:r w:rsidR="00ED40B2">
        <w:rPr>
          <w:rFonts w:ascii="Calibri" w:hAnsi="Calibri" w:cs="Calibri"/>
          <w:color w:val="000000" w:themeColor="text1"/>
        </w:rPr>
        <w:t>F</w:t>
      </w:r>
      <w:r w:rsidR="008F4FB8" w:rsidRPr="0046062F">
        <w:rPr>
          <w:rFonts w:ascii="Calibri" w:hAnsi="Calibri" w:cs="Calibri"/>
          <w:color w:val="000000" w:themeColor="text1"/>
        </w:rPr>
        <w:t>igure 2 demonstrates the structure for Models that included ELO ratings.</w:t>
      </w:r>
      <w:r w:rsidR="009068A6" w:rsidRPr="0046062F">
        <w:rPr>
          <w:rFonts w:ascii="Calibri" w:hAnsi="Calibri" w:cs="Calibri"/>
          <w:color w:val="000000" w:themeColor="text1"/>
        </w:rPr>
        <w:br/>
      </w:r>
    </w:p>
    <w:p w14:paraId="089821BB" w14:textId="6910B88F" w:rsidR="009068A6" w:rsidRPr="0046062F" w:rsidRDefault="009068A6" w:rsidP="001C22DD">
      <w:pPr>
        <w:jc w:val="both"/>
        <w:rPr>
          <w:rFonts w:ascii="Calibri" w:hAnsi="Calibri" w:cs="Calibri"/>
          <w:color w:val="000000" w:themeColor="text1"/>
        </w:rPr>
      </w:pPr>
      <w:r w:rsidRPr="0046062F">
        <w:rPr>
          <w:rFonts w:ascii="Calibri" w:hAnsi="Calibri" w:cs="Calibri"/>
          <w:color w:val="000000" w:themeColor="text1"/>
        </w:rPr>
        <w:t>Figure 1</w:t>
      </w:r>
    </w:p>
    <w:tbl>
      <w:tblPr>
        <w:tblStyle w:val="PlainTable4"/>
        <w:tblW w:w="0" w:type="auto"/>
        <w:tblLook w:val="04A0" w:firstRow="1" w:lastRow="0" w:firstColumn="1" w:lastColumn="0" w:noHBand="0" w:noVBand="1"/>
      </w:tblPr>
      <w:tblGrid>
        <w:gridCol w:w="489"/>
        <w:gridCol w:w="826"/>
        <w:gridCol w:w="826"/>
        <w:gridCol w:w="1053"/>
        <w:gridCol w:w="1053"/>
        <w:gridCol w:w="1049"/>
        <w:gridCol w:w="400"/>
        <w:gridCol w:w="1121"/>
        <w:gridCol w:w="1121"/>
        <w:gridCol w:w="1088"/>
      </w:tblGrid>
      <w:tr w:rsidR="0046062F" w:rsidRPr="0046062F" w14:paraId="6031E4C8" w14:textId="1C6F1700" w:rsidTr="009068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5" w:type="dxa"/>
          </w:tcPr>
          <w:p w14:paraId="646BFE22" w14:textId="78B94F7F" w:rsidR="009068A6" w:rsidRPr="0046062F" w:rsidRDefault="009068A6" w:rsidP="001C22DD">
            <w:pPr>
              <w:jc w:val="both"/>
              <w:rPr>
                <w:rFonts w:ascii="Calibri" w:hAnsi="Calibri" w:cs="Calibri"/>
                <w:color w:val="000000" w:themeColor="text1"/>
                <w:sz w:val="16"/>
              </w:rPr>
            </w:pPr>
            <w:r w:rsidRPr="0046062F">
              <w:rPr>
                <w:rFonts w:ascii="Calibri" w:hAnsi="Calibri" w:cs="Calibri"/>
                <w:color w:val="000000" w:themeColor="text1"/>
                <w:sz w:val="16"/>
              </w:rPr>
              <w:t>FTR</w:t>
            </w:r>
          </w:p>
        </w:tc>
        <w:tc>
          <w:tcPr>
            <w:tcW w:w="736" w:type="dxa"/>
          </w:tcPr>
          <w:p w14:paraId="1E014F6C" w14:textId="44BD021C" w:rsidR="009068A6" w:rsidRPr="0046062F" w:rsidRDefault="009068A6" w:rsidP="001C22DD">
            <w:pPr>
              <w:jc w:val="both"/>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sz w:val="16"/>
              </w:rPr>
            </w:pPr>
            <w:r w:rsidRPr="0046062F">
              <w:rPr>
                <w:rFonts w:ascii="Calibri" w:hAnsi="Calibri" w:cs="Calibri"/>
                <w:color w:val="000000" w:themeColor="text1"/>
                <w:sz w:val="16"/>
              </w:rPr>
              <w:t>Home</w:t>
            </w:r>
          </w:p>
        </w:tc>
        <w:tc>
          <w:tcPr>
            <w:tcW w:w="711" w:type="dxa"/>
          </w:tcPr>
          <w:p w14:paraId="33509962" w14:textId="22662004" w:rsidR="009068A6" w:rsidRPr="0046062F" w:rsidRDefault="009068A6" w:rsidP="001C22DD">
            <w:pPr>
              <w:jc w:val="both"/>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sz w:val="16"/>
              </w:rPr>
            </w:pPr>
            <w:r w:rsidRPr="0046062F">
              <w:rPr>
                <w:rFonts w:ascii="Calibri" w:hAnsi="Calibri" w:cs="Calibri"/>
                <w:color w:val="000000" w:themeColor="text1"/>
                <w:sz w:val="16"/>
              </w:rPr>
              <w:t>Away</w:t>
            </w:r>
          </w:p>
        </w:tc>
        <w:tc>
          <w:tcPr>
            <w:tcW w:w="1167" w:type="dxa"/>
          </w:tcPr>
          <w:p w14:paraId="36191274" w14:textId="3C1A1788" w:rsidR="009068A6" w:rsidRPr="0046062F" w:rsidRDefault="009068A6" w:rsidP="001C22DD">
            <w:pPr>
              <w:jc w:val="both"/>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sz w:val="16"/>
              </w:rPr>
            </w:pPr>
            <w:r w:rsidRPr="0046062F">
              <w:rPr>
                <w:rFonts w:ascii="Calibri" w:hAnsi="Calibri" w:cs="Calibri"/>
                <w:color w:val="000000" w:themeColor="text1"/>
                <w:sz w:val="16"/>
              </w:rPr>
              <w:t>BetComp1H</w:t>
            </w:r>
          </w:p>
        </w:tc>
        <w:tc>
          <w:tcPr>
            <w:tcW w:w="1167" w:type="dxa"/>
          </w:tcPr>
          <w:p w14:paraId="7AE5BB69" w14:textId="301CD7AA" w:rsidR="009068A6" w:rsidRPr="0046062F" w:rsidRDefault="009068A6" w:rsidP="001C22DD">
            <w:pPr>
              <w:jc w:val="both"/>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sz w:val="16"/>
              </w:rPr>
            </w:pPr>
            <w:r w:rsidRPr="0046062F">
              <w:rPr>
                <w:rFonts w:ascii="Calibri" w:hAnsi="Calibri" w:cs="Calibri"/>
                <w:color w:val="000000" w:themeColor="text1"/>
                <w:sz w:val="16"/>
              </w:rPr>
              <w:t>BetComp1D</w:t>
            </w:r>
          </w:p>
        </w:tc>
        <w:tc>
          <w:tcPr>
            <w:tcW w:w="1163" w:type="dxa"/>
          </w:tcPr>
          <w:p w14:paraId="5A53B217" w14:textId="7AE8E85D" w:rsidR="009068A6" w:rsidRPr="0046062F" w:rsidRDefault="009068A6" w:rsidP="001C22DD">
            <w:pPr>
              <w:jc w:val="both"/>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sz w:val="16"/>
              </w:rPr>
            </w:pPr>
            <w:r w:rsidRPr="0046062F">
              <w:rPr>
                <w:rFonts w:ascii="Calibri" w:hAnsi="Calibri" w:cs="Calibri"/>
                <w:color w:val="000000" w:themeColor="text1"/>
                <w:sz w:val="16"/>
              </w:rPr>
              <w:t>BetComp1A</w:t>
            </w:r>
          </w:p>
        </w:tc>
        <w:tc>
          <w:tcPr>
            <w:tcW w:w="475" w:type="dxa"/>
          </w:tcPr>
          <w:p w14:paraId="57E3FB70" w14:textId="7DC485F2" w:rsidR="009068A6" w:rsidRPr="0046062F" w:rsidRDefault="009068A6" w:rsidP="001C22DD">
            <w:pPr>
              <w:jc w:val="both"/>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sz w:val="16"/>
              </w:rPr>
            </w:pPr>
            <w:r w:rsidRPr="0046062F">
              <w:rPr>
                <w:rFonts w:ascii="Calibri" w:hAnsi="Calibri" w:cs="Calibri"/>
                <w:color w:val="000000" w:themeColor="text1"/>
                <w:sz w:val="16"/>
              </w:rPr>
              <w:t xml:space="preserve">…. </w:t>
            </w:r>
          </w:p>
        </w:tc>
        <w:tc>
          <w:tcPr>
            <w:tcW w:w="1201" w:type="dxa"/>
          </w:tcPr>
          <w:p w14:paraId="6A7DFD9D" w14:textId="6E7D5857" w:rsidR="009068A6" w:rsidRPr="0046062F" w:rsidRDefault="009068A6" w:rsidP="001C22DD">
            <w:pPr>
              <w:jc w:val="both"/>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sz w:val="16"/>
              </w:rPr>
            </w:pPr>
            <w:r w:rsidRPr="0046062F">
              <w:rPr>
                <w:rFonts w:ascii="Calibri" w:hAnsi="Calibri" w:cs="Calibri"/>
                <w:color w:val="000000" w:themeColor="text1"/>
                <w:sz w:val="16"/>
              </w:rPr>
              <w:t>BetComp10H</w:t>
            </w:r>
          </w:p>
        </w:tc>
        <w:tc>
          <w:tcPr>
            <w:tcW w:w="1201" w:type="dxa"/>
          </w:tcPr>
          <w:p w14:paraId="479D8BD0" w14:textId="3AC26A24" w:rsidR="009068A6" w:rsidRPr="0046062F" w:rsidRDefault="009068A6" w:rsidP="001C22DD">
            <w:pPr>
              <w:jc w:val="both"/>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sz w:val="16"/>
              </w:rPr>
            </w:pPr>
            <w:r w:rsidRPr="0046062F">
              <w:rPr>
                <w:rFonts w:ascii="Calibri" w:hAnsi="Calibri" w:cs="Calibri"/>
                <w:color w:val="000000" w:themeColor="text1"/>
                <w:sz w:val="16"/>
              </w:rPr>
              <w:t>BetComp10D</w:t>
            </w:r>
          </w:p>
        </w:tc>
        <w:tc>
          <w:tcPr>
            <w:tcW w:w="640" w:type="dxa"/>
          </w:tcPr>
          <w:p w14:paraId="6CD22806" w14:textId="7652A015" w:rsidR="009068A6" w:rsidRPr="0046062F" w:rsidRDefault="009068A6" w:rsidP="001C22DD">
            <w:pPr>
              <w:jc w:val="both"/>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sz w:val="16"/>
              </w:rPr>
            </w:pPr>
            <w:r w:rsidRPr="0046062F">
              <w:rPr>
                <w:rFonts w:ascii="Calibri" w:hAnsi="Calibri" w:cs="Calibri"/>
                <w:color w:val="000000" w:themeColor="text1"/>
                <w:sz w:val="16"/>
              </w:rPr>
              <w:t>BetComp10A</w:t>
            </w:r>
          </w:p>
        </w:tc>
      </w:tr>
      <w:tr w:rsidR="0046062F" w:rsidRPr="0046062F" w14:paraId="29D57A60" w14:textId="555663E4" w:rsidTr="00906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5" w:type="dxa"/>
          </w:tcPr>
          <w:p w14:paraId="2F481C67" w14:textId="5AD441EF" w:rsidR="009068A6" w:rsidRPr="0046062F" w:rsidRDefault="009068A6" w:rsidP="001C22DD">
            <w:pPr>
              <w:jc w:val="both"/>
              <w:rPr>
                <w:rFonts w:ascii="Calibri" w:hAnsi="Calibri" w:cs="Calibri"/>
                <w:color w:val="000000" w:themeColor="text1"/>
              </w:rPr>
            </w:pPr>
            <w:r w:rsidRPr="0046062F">
              <w:rPr>
                <w:rFonts w:ascii="Calibri" w:hAnsi="Calibri" w:cs="Calibri"/>
                <w:color w:val="000000" w:themeColor="text1"/>
              </w:rPr>
              <w:t>H</w:t>
            </w:r>
          </w:p>
        </w:tc>
        <w:tc>
          <w:tcPr>
            <w:tcW w:w="736" w:type="dxa"/>
          </w:tcPr>
          <w:p w14:paraId="7C7659C1" w14:textId="124F22E8" w:rsidR="009068A6" w:rsidRPr="0046062F" w:rsidRDefault="009068A6" w:rsidP="001C22DD">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46062F">
              <w:rPr>
                <w:rFonts w:ascii="Calibri" w:hAnsi="Calibri" w:cs="Calibri"/>
                <w:color w:val="000000" w:themeColor="text1"/>
              </w:rPr>
              <w:t>Team1</w:t>
            </w:r>
          </w:p>
        </w:tc>
        <w:tc>
          <w:tcPr>
            <w:tcW w:w="711" w:type="dxa"/>
          </w:tcPr>
          <w:p w14:paraId="635E461C" w14:textId="1FA8B91E" w:rsidR="009068A6" w:rsidRPr="0046062F" w:rsidRDefault="009068A6" w:rsidP="001C22DD">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46062F">
              <w:rPr>
                <w:rFonts w:ascii="Calibri" w:hAnsi="Calibri" w:cs="Calibri"/>
                <w:color w:val="000000" w:themeColor="text1"/>
              </w:rPr>
              <w:t>Team2</w:t>
            </w:r>
          </w:p>
        </w:tc>
        <w:tc>
          <w:tcPr>
            <w:tcW w:w="1167" w:type="dxa"/>
          </w:tcPr>
          <w:p w14:paraId="32B489E6" w14:textId="0DCAA524" w:rsidR="009068A6" w:rsidRPr="0046062F" w:rsidRDefault="009068A6" w:rsidP="001C22DD">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46062F">
              <w:rPr>
                <w:rFonts w:ascii="Calibri" w:hAnsi="Calibri" w:cs="Calibri"/>
                <w:color w:val="000000" w:themeColor="text1"/>
              </w:rPr>
              <w:t>1.1</w:t>
            </w:r>
          </w:p>
        </w:tc>
        <w:tc>
          <w:tcPr>
            <w:tcW w:w="1167" w:type="dxa"/>
          </w:tcPr>
          <w:p w14:paraId="531AFB58" w14:textId="2C5091B1" w:rsidR="009068A6" w:rsidRPr="0046062F" w:rsidRDefault="009068A6" w:rsidP="001C22DD">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46062F">
              <w:rPr>
                <w:rFonts w:ascii="Calibri" w:hAnsi="Calibri" w:cs="Calibri"/>
                <w:color w:val="000000" w:themeColor="text1"/>
              </w:rPr>
              <w:t>3.7</w:t>
            </w:r>
          </w:p>
        </w:tc>
        <w:tc>
          <w:tcPr>
            <w:tcW w:w="1163" w:type="dxa"/>
          </w:tcPr>
          <w:p w14:paraId="4D29410D" w14:textId="69951BA0" w:rsidR="009068A6" w:rsidRPr="0046062F" w:rsidRDefault="009068A6" w:rsidP="001C22DD">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46062F">
              <w:rPr>
                <w:rFonts w:ascii="Calibri" w:hAnsi="Calibri" w:cs="Calibri"/>
                <w:color w:val="000000" w:themeColor="text1"/>
              </w:rPr>
              <w:t>2.5</w:t>
            </w:r>
          </w:p>
        </w:tc>
        <w:tc>
          <w:tcPr>
            <w:tcW w:w="475" w:type="dxa"/>
          </w:tcPr>
          <w:p w14:paraId="42B160A5" w14:textId="77777777" w:rsidR="009068A6" w:rsidRPr="0046062F" w:rsidRDefault="009068A6" w:rsidP="001C22DD">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p>
        </w:tc>
        <w:tc>
          <w:tcPr>
            <w:tcW w:w="1201" w:type="dxa"/>
          </w:tcPr>
          <w:p w14:paraId="46BDA9F8" w14:textId="00417936" w:rsidR="009068A6" w:rsidRPr="0046062F" w:rsidRDefault="009068A6" w:rsidP="001C22DD">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46062F">
              <w:rPr>
                <w:rFonts w:ascii="Calibri" w:hAnsi="Calibri" w:cs="Calibri"/>
                <w:color w:val="000000" w:themeColor="text1"/>
              </w:rPr>
              <w:t>1.15</w:t>
            </w:r>
          </w:p>
        </w:tc>
        <w:tc>
          <w:tcPr>
            <w:tcW w:w="1201" w:type="dxa"/>
          </w:tcPr>
          <w:p w14:paraId="40B945A5" w14:textId="2F77A54E" w:rsidR="009068A6" w:rsidRPr="0046062F" w:rsidRDefault="009068A6" w:rsidP="001C22DD">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46062F">
              <w:rPr>
                <w:rFonts w:ascii="Calibri" w:hAnsi="Calibri" w:cs="Calibri"/>
                <w:color w:val="000000" w:themeColor="text1"/>
              </w:rPr>
              <w:t>3.62</w:t>
            </w:r>
          </w:p>
        </w:tc>
        <w:tc>
          <w:tcPr>
            <w:tcW w:w="640" w:type="dxa"/>
          </w:tcPr>
          <w:p w14:paraId="6E430974" w14:textId="060778EE" w:rsidR="009068A6" w:rsidRPr="0046062F" w:rsidRDefault="009068A6" w:rsidP="001C22DD">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46062F">
              <w:rPr>
                <w:rFonts w:ascii="Calibri" w:hAnsi="Calibri" w:cs="Calibri"/>
                <w:color w:val="000000" w:themeColor="text1"/>
              </w:rPr>
              <w:t>2.35</w:t>
            </w:r>
          </w:p>
        </w:tc>
      </w:tr>
      <w:tr w:rsidR="0046062F" w:rsidRPr="0046062F" w14:paraId="65AD1502" w14:textId="77777777" w:rsidTr="009068A6">
        <w:tc>
          <w:tcPr>
            <w:cnfStyle w:val="001000000000" w:firstRow="0" w:lastRow="0" w:firstColumn="1" w:lastColumn="0" w:oddVBand="0" w:evenVBand="0" w:oddHBand="0" w:evenHBand="0" w:firstRowFirstColumn="0" w:firstRowLastColumn="0" w:lastRowFirstColumn="0" w:lastRowLastColumn="0"/>
            <w:tcW w:w="565" w:type="dxa"/>
          </w:tcPr>
          <w:p w14:paraId="2FB98063" w14:textId="77777777" w:rsidR="008F4FB8" w:rsidRPr="0046062F" w:rsidRDefault="008F4FB8" w:rsidP="001C22DD">
            <w:pPr>
              <w:jc w:val="both"/>
              <w:rPr>
                <w:rFonts w:ascii="Calibri" w:hAnsi="Calibri" w:cs="Calibri"/>
                <w:b w:val="0"/>
                <w:bCs w:val="0"/>
                <w:color w:val="000000" w:themeColor="text1"/>
              </w:rPr>
            </w:pPr>
          </w:p>
          <w:p w14:paraId="30CC3688" w14:textId="2C63AA0D" w:rsidR="008F4FB8" w:rsidRPr="0046062F" w:rsidRDefault="008F4FB8" w:rsidP="001C22DD">
            <w:pPr>
              <w:jc w:val="both"/>
              <w:rPr>
                <w:rFonts w:ascii="Calibri" w:hAnsi="Calibri" w:cs="Calibri"/>
                <w:color w:val="000000" w:themeColor="text1"/>
              </w:rPr>
            </w:pPr>
          </w:p>
        </w:tc>
        <w:tc>
          <w:tcPr>
            <w:tcW w:w="736" w:type="dxa"/>
          </w:tcPr>
          <w:p w14:paraId="2554BD99" w14:textId="77777777" w:rsidR="008F4FB8" w:rsidRPr="0046062F" w:rsidRDefault="008F4FB8" w:rsidP="001C22DD">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p>
        </w:tc>
        <w:tc>
          <w:tcPr>
            <w:tcW w:w="711" w:type="dxa"/>
          </w:tcPr>
          <w:p w14:paraId="3EFA6748" w14:textId="77777777" w:rsidR="008F4FB8" w:rsidRPr="0046062F" w:rsidRDefault="008F4FB8" w:rsidP="001C22DD">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p>
        </w:tc>
        <w:tc>
          <w:tcPr>
            <w:tcW w:w="1167" w:type="dxa"/>
          </w:tcPr>
          <w:p w14:paraId="275900B0" w14:textId="77777777" w:rsidR="008F4FB8" w:rsidRPr="0046062F" w:rsidRDefault="008F4FB8" w:rsidP="001C22DD">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p>
        </w:tc>
        <w:tc>
          <w:tcPr>
            <w:tcW w:w="1167" w:type="dxa"/>
          </w:tcPr>
          <w:p w14:paraId="1C7C1703" w14:textId="77777777" w:rsidR="008F4FB8" w:rsidRPr="0046062F" w:rsidRDefault="008F4FB8" w:rsidP="001C22DD">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p>
        </w:tc>
        <w:tc>
          <w:tcPr>
            <w:tcW w:w="1163" w:type="dxa"/>
          </w:tcPr>
          <w:p w14:paraId="5F8B94F8" w14:textId="77777777" w:rsidR="008F4FB8" w:rsidRPr="0046062F" w:rsidRDefault="008F4FB8" w:rsidP="001C22DD">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p>
        </w:tc>
        <w:tc>
          <w:tcPr>
            <w:tcW w:w="475" w:type="dxa"/>
          </w:tcPr>
          <w:p w14:paraId="08DEE7DB" w14:textId="77777777" w:rsidR="008F4FB8" w:rsidRPr="0046062F" w:rsidRDefault="008F4FB8" w:rsidP="001C22DD">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p>
        </w:tc>
        <w:tc>
          <w:tcPr>
            <w:tcW w:w="1201" w:type="dxa"/>
          </w:tcPr>
          <w:p w14:paraId="6A717667" w14:textId="77777777" w:rsidR="008F4FB8" w:rsidRPr="0046062F" w:rsidRDefault="008F4FB8" w:rsidP="001C22DD">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p>
        </w:tc>
        <w:tc>
          <w:tcPr>
            <w:tcW w:w="1201" w:type="dxa"/>
          </w:tcPr>
          <w:p w14:paraId="1DD82FF3" w14:textId="77777777" w:rsidR="008F4FB8" w:rsidRPr="0046062F" w:rsidRDefault="008F4FB8" w:rsidP="001C22DD">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p>
        </w:tc>
        <w:tc>
          <w:tcPr>
            <w:tcW w:w="640" w:type="dxa"/>
          </w:tcPr>
          <w:p w14:paraId="09B451A6" w14:textId="77777777" w:rsidR="008F4FB8" w:rsidRPr="0046062F" w:rsidRDefault="008F4FB8" w:rsidP="001C22DD">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p>
        </w:tc>
      </w:tr>
    </w:tbl>
    <w:p w14:paraId="0B709B43" w14:textId="77777777" w:rsidR="0046062F" w:rsidRDefault="0046062F" w:rsidP="001C22DD">
      <w:pPr>
        <w:jc w:val="both"/>
        <w:rPr>
          <w:rFonts w:ascii="Calibri" w:hAnsi="Calibri" w:cs="Calibri"/>
          <w:color w:val="000000" w:themeColor="text1"/>
        </w:rPr>
      </w:pPr>
    </w:p>
    <w:p w14:paraId="06F0E93D" w14:textId="53A210F0" w:rsidR="00E8098E" w:rsidRPr="0046062F" w:rsidRDefault="008F4FB8" w:rsidP="001C22DD">
      <w:pPr>
        <w:jc w:val="both"/>
        <w:rPr>
          <w:rFonts w:ascii="Calibri" w:hAnsi="Calibri" w:cs="Calibri"/>
          <w:color w:val="000000" w:themeColor="text1"/>
        </w:rPr>
      </w:pPr>
      <w:r w:rsidRPr="0046062F">
        <w:rPr>
          <w:rFonts w:ascii="Calibri" w:hAnsi="Calibri" w:cs="Calibri"/>
          <w:color w:val="000000" w:themeColor="text1"/>
        </w:rPr>
        <w:t>Figure 2</w:t>
      </w:r>
    </w:p>
    <w:tbl>
      <w:tblPr>
        <w:tblStyle w:val="PlainTable4"/>
        <w:tblW w:w="0" w:type="auto"/>
        <w:tblLook w:val="04A0" w:firstRow="1" w:lastRow="0" w:firstColumn="1" w:lastColumn="0" w:noHBand="0" w:noVBand="1"/>
      </w:tblPr>
      <w:tblGrid>
        <w:gridCol w:w="435"/>
        <w:gridCol w:w="692"/>
        <w:gridCol w:w="692"/>
        <w:gridCol w:w="535"/>
        <w:gridCol w:w="524"/>
        <w:gridCol w:w="930"/>
        <w:gridCol w:w="930"/>
        <w:gridCol w:w="926"/>
        <w:gridCol w:w="357"/>
        <w:gridCol w:w="1003"/>
        <w:gridCol w:w="1003"/>
        <w:gridCol w:w="999"/>
      </w:tblGrid>
      <w:tr w:rsidR="0046062F" w:rsidRPr="0046062F" w14:paraId="33377B45" w14:textId="77777777" w:rsidTr="008F4F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 w:type="dxa"/>
          </w:tcPr>
          <w:p w14:paraId="157D170A" w14:textId="77777777" w:rsidR="008F4FB8" w:rsidRPr="0046062F" w:rsidRDefault="008F4FB8" w:rsidP="001C22DD">
            <w:pPr>
              <w:jc w:val="both"/>
              <w:rPr>
                <w:rFonts w:ascii="Calibri" w:hAnsi="Calibri" w:cs="Calibri"/>
                <w:color w:val="000000" w:themeColor="text1"/>
                <w:sz w:val="14"/>
              </w:rPr>
            </w:pPr>
            <w:r w:rsidRPr="0046062F">
              <w:rPr>
                <w:rFonts w:ascii="Calibri" w:hAnsi="Calibri" w:cs="Calibri"/>
                <w:color w:val="000000" w:themeColor="text1"/>
                <w:sz w:val="14"/>
              </w:rPr>
              <w:t>FTR</w:t>
            </w:r>
          </w:p>
        </w:tc>
        <w:tc>
          <w:tcPr>
            <w:tcW w:w="778" w:type="dxa"/>
          </w:tcPr>
          <w:p w14:paraId="7AE9A3AF" w14:textId="77777777" w:rsidR="008F4FB8" w:rsidRPr="0046062F" w:rsidRDefault="008F4FB8" w:rsidP="001C22DD">
            <w:pPr>
              <w:jc w:val="both"/>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sz w:val="14"/>
              </w:rPr>
            </w:pPr>
            <w:r w:rsidRPr="0046062F">
              <w:rPr>
                <w:rFonts w:ascii="Calibri" w:hAnsi="Calibri" w:cs="Calibri"/>
                <w:color w:val="000000" w:themeColor="text1"/>
                <w:sz w:val="14"/>
              </w:rPr>
              <w:t>Home</w:t>
            </w:r>
          </w:p>
        </w:tc>
        <w:tc>
          <w:tcPr>
            <w:tcW w:w="778" w:type="dxa"/>
          </w:tcPr>
          <w:p w14:paraId="70397498" w14:textId="77777777" w:rsidR="008F4FB8" w:rsidRPr="0046062F" w:rsidRDefault="008F4FB8" w:rsidP="001C22DD">
            <w:pPr>
              <w:jc w:val="both"/>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sz w:val="14"/>
              </w:rPr>
            </w:pPr>
            <w:r w:rsidRPr="0046062F">
              <w:rPr>
                <w:rFonts w:ascii="Calibri" w:hAnsi="Calibri" w:cs="Calibri"/>
                <w:color w:val="000000" w:themeColor="text1"/>
                <w:sz w:val="14"/>
              </w:rPr>
              <w:t>Away</w:t>
            </w:r>
          </w:p>
        </w:tc>
        <w:tc>
          <w:tcPr>
            <w:tcW w:w="543" w:type="dxa"/>
          </w:tcPr>
          <w:p w14:paraId="461058AD" w14:textId="16FA3708" w:rsidR="008F4FB8" w:rsidRPr="0046062F" w:rsidRDefault="008F4FB8" w:rsidP="001C22DD">
            <w:pPr>
              <w:jc w:val="both"/>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sz w:val="14"/>
              </w:rPr>
            </w:pPr>
            <w:r w:rsidRPr="0046062F">
              <w:rPr>
                <w:rFonts w:ascii="Calibri" w:hAnsi="Calibri" w:cs="Calibri"/>
                <w:color w:val="000000" w:themeColor="text1"/>
                <w:sz w:val="14"/>
              </w:rPr>
              <w:t>ELOH</w:t>
            </w:r>
          </w:p>
        </w:tc>
        <w:tc>
          <w:tcPr>
            <w:tcW w:w="222" w:type="dxa"/>
          </w:tcPr>
          <w:p w14:paraId="6E3716FE" w14:textId="63F2E67D" w:rsidR="008F4FB8" w:rsidRPr="0046062F" w:rsidRDefault="008F4FB8" w:rsidP="001C22DD">
            <w:pPr>
              <w:jc w:val="both"/>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sz w:val="14"/>
              </w:rPr>
            </w:pPr>
            <w:r w:rsidRPr="0046062F">
              <w:rPr>
                <w:rFonts w:ascii="Calibri" w:hAnsi="Calibri" w:cs="Calibri"/>
                <w:color w:val="000000" w:themeColor="text1"/>
                <w:sz w:val="14"/>
              </w:rPr>
              <w:t>ELOA</w:t>
            </w:r>
          </w:p>
        </w:tc>
        <w:tc>
          <w:tcPr>
            <w:tcW w:w="948" w:type="dxa"/>
          </w:tcPr>
          <w:p w14:paraId="673AED84" w14:textId="2E542C5F" w:rsidR="008F4FB8" w:rsidRPr="0046062F" w:rsidRDefault="008F4FB8" w:rsidP="001C22DD">
            <w:pPr>
              <w:jc w:val="both"/>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sz w:val="14"/>
              </w:rPr>
            </w:pPr>
            <w:r w:rsidRPr="0046062F">
              <w:rPr>
                <w:rFonts w:ascii="Calibri" w:hAnsi="Calibri" w:cs="Calibri"/>
                <w:color w:val="000000" w:themeColor="text1"/>
                <w:sz w:val="14"/>
              </w:rPr>
              <w:t>BetComp1H</w:t>
            </w:r>
          </w:p>
        </w:tc>
        <w:tc>
          <w:tcPr>
            <w:tcW w:w="948" w:type="dxa"/>
          </w:tcPr>
          <w:p w14:paraId="5AB6DC5C" w14:textId="77777777" w:rsidR="008F4FB8" w:rsidRPr="0046062F" w:rsidRDefault="008F4FB8" w:rsidP="001C22DD">
            <w:pPr>
              <w:jc w:val="both"/>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sz w:val="14"/>
              </w:rPr>
            </w:pPr>
            <w:r w:rsidRPr="0046062F">
              <w:rPr>
                <w:rFonts w:ascii="Calibri" w:hAnsi="Calibri" w:cs="Calibri"/>
                <w:color w:val="000000" w:themeColor="text1"/>
                <w:sz w:val="14"/>
              </w:rPr>
              <w:t>BetComp1D</w:t>
            </w:r>
          </w:p>
        </w:tc>
        <w:tc>
          <w:tcPr>
            <w:tcW w:w="944" w:type="dxa"/>
          </w:tcPr>
          <w:p w14:paraId="3430957B" w14:textId="77777777" w:rsidR="008F4FB8" w:rsidRPr="0046062F" w:rsidRDefault="008F4FB8" w:rsidP="001C22DD">
            <w:pPr>
              <w:jc w:val="both"/>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sz w:val="14"/>
              </w:rPr>
            </w:pPr>
            <w:r w:rsidRPr="0046062F">
              <w:rPr>
                <w:rFonts w:ascii="Calibri" w:hAnsi="Calibri" w:cs="Calibri"/>
                <w:color w:val="000000" w:themeColor="text1"/>
                <w:sz w:val="14"/>
              </w:rPr>
              <w:t>BetComp1A</w:t>
            </w:r>
          </w:p>
        </w:tc>
        <w:tc>
          <w:tcPr>
            <w:tcW w:w="361" w:type="dxa"/>
          </w:tcPr>
          <w:p w14:paraId="46E36447" w14:textId="77777777" w:rsidR="008F4FB8" w:rsidRPr="0046062F" w:rsidRDefault="008F4FB8" w:rsidP="001C22DD">
            <w:pPr>
              <w:jc w:val="both"/>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sz w:val="14"/>
              </w:rPr>
            </w:pPr>
            <w:r w:rsidRPr="0046062F">
              <w:rPr>
                <w:rFonts w:ascii="Calibri" w:hAnsi="Calibri" w:cs="Calibri"/>
                <w:color w:val="000000" w:themeColor="text1"/>
                <w:sz w:val="14"/>
              </w:rPr>
              <w:t xml:space="preserve">…. </w:t>
            </w:r>
          </w:p>
        </w:tc>
        <w:tc>
          <w:tcPr>
            <w:tcW w:w="1023" w:type="dxa"/>
          </w:tcPr>
          <w:p w14:paraId="1C8AD468" w14:textId="77777777" w:rsidR="008F4FB8" w:rsidRPr="0046062F" w:rsidRDefault="008F4FB8" w:rsidP="001C22DD">
            <w:pPr>
              <w:jc w:val="both"/>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sz w:val="14"/>
              </w:rPr>
            </w:pPr>
            <w:r w:rsidRPr="0046062F">
              <w:rPr>
                <w:rFonts w:ascii="Calibri" w:hAnsi="Calibri" w:cs="Calibri"/>
                <w:color w:val="000000" w:themeColor="text1"/>
                <w:sz w:val="14"/>
              </w:rPr>
              <w:t>BetComp10H</w:t>
            </w:r>
          </w:p>
        </w:tc>
        <w:tc>
          <w:tcPr>
            <w:tcW w:w="1023" w:type="dxa"/>
          </w:tcPr>
          <w:p w14:paraId="150360BE" w14:textId="77777777" w:rsidR="008F4FB8" w:rsidRPr="0046062F" w:rsidRDefault="008F4FB8" w:rsidP="001C22DD">
            <w:pPr>
              <w:jc w:val="both"/>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sz w:val="14"/>
              </w:rPr>
            </w:pPr>
            <w:r w:rsidRPr="0046062F">
              <w:rPr>
                <w:rFonts w:ascii="Calibri" w:hAnsi="Calibri" w:cs="Calibri"/>
                <w:color w:val="000000" w:themeColor="text1"/>
                <w:sz w:val="14"/>
              </w:rPr>
              <w:t>BetComp10D</w:t>
            </w:r>
          </w:p>
        </w:tc>
        <w:tc>
          <w:tcPr>
            <w:tcW w:w="1019" w:type="dxa"/>
          </w:tcPr>
          <w:p w14:paraId="3DA30D06" w14:textId="77777777" w:rsidR="008F4FB8" w:rsidRPr="0046062F" w:rsidRDefault="008F4FB8" w:rsidP="001C22DD">
            <w:pPr>
              <w:jc w:val="both"/>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sz w:val="14"/>
              </w:rPr>
            </w:pPr>
            <w:r w:rsidRPr="0046062F">
              <w:rPr>
                <w:rFonts w:ascii="Calibri" w:hAnsi="Calibri" w:cs="Calibri"/>
                <w:color w:val="000000" w:themeColor="text1"/>
                <w:sz w:val="14"/>
              </w:rPr>
              <w:t>BetComp10A</w:t>
            </w:r>
          </w:p>
        </w:tc>
      </w:tr>
      <w:tr w:rsidR="0046062F" w:rsidRPr="0046062F" w14:paraId="2AB84D64" w14:textId="77777777" w:rsidTr="008F4F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 w:type="dxa"/>
          </w:tcPr>
          <w:p w14:paraId="7280C29B" w14:textId="77777777" w:rsidR="008F4FB8" w:rsidRPr="0046062F" w:rsidRDefault="008F4FB8" w:rsidP="001C22DD">
            <w:pPr>
              <w:jc w:val="both"/>
              <w:rPr>
                <w:rFonts w:ascii="Calibri" w:hAnsi="Calibri" w:cs="Calibri"/>
                <w:color w:val="000000" w:themeColor="text1"/>
                <w:sz w:val="14"/>
              </w:rPr>
            </w:pPr>
            <w:r w:rsidRPr="0046062F">
              <w:rPr>
                <w:rFonts w:ascii="Calibri" w:hAnsi="Calibri" w:cs="Calibri"/>
                <w:color w:val="000000" w:themeColor="text1"/>
                <w:sz w:val="14"/>
              </w:rPr>
              <w:t>H</w:t>
            </w:r>
          </w:p>
        </w:tc>
        <w:tc>
          <w:tcPr>
            <w:tcW w:w="778" w:type="dxa"/>
          </w:tcPr>
          <w:p w14:paraId="50B6AB85" w14:textId="77777777" w:rsidR="008F4FB8" w:rsidRPr="0046062F" w:rsidRDefault="008F4FB8" w:rsidP="001C22DD">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14"/>
              </w:rPr>
            </w:pPr>
            <w:r w:rsidRPr="0046062F">
              <w:rPr>
                <w:rFonts w:ascii="Calibri" w:hAnsi="Calibri" w:cs="Calibri"/>
                <w:color w:val="000000" w:themeColor="text1"/>
                <w:sz w:val="14"/>
              </w:rPr>
              <w:t>Team1</w:t>
            </w:r>
          </w:p>
        </w:tc>
        <w:tc>
          <w:tcPr>
            <w:tcW w:w="778" w:type="dxa"/>
          </w:tcPr>
          <w:p w14:paraId="0ADEE6DC" w14:textId="77777777" w:rsidR="008F4FB8" w:rsidRPr="0046062F" w:rsidRDefault="008F4FB8" w:rsidP="001C22DD">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14"/>
              </w:rPr>
            </w:pPr>
            <w:r w:rsidRPr="0046062F">
              <w:rPr>
                <w:rFonts w:ascii="Calibri" w:hAnsi="Calibri" w:cs="Calibri"/>
                <w:color w:val="000000" w:themeColor="text1"/>
                <w:sz w:val="14"/>
              </w:rPr>
              <w:t>Team2</w:t>
            </w:r>
          </w:p>
        </w:tc>
        <w:tc>
          <w:tcPr>
            <w:tcW w:w="543" w:type="dxa"/>
          </w:tcPr>
          <w:p w14:paraId="72B0D729" w14:textId="17C469CA" w:rsidR="008F4FB8" w:rsidRPr="0046062F" w:rsidRDefault="008F4FB8" w:rsidP="001C22DD">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14"/>
              </w:rPr>
            </w:pPr>
            <w:r w:rsidRPr="0046062F">
              <w:rPr>
                <w:rFonts w:ascii="Calibri" w:hAnsi="Calibri" w:cs="Calibri"/>
                <w:color w:val="000000" w:themeColor="text1"/>
                <w:sz w:val="14"/>
              </w:rPr>
              <w:t>1500</w:t>
            </w:r>
          </w:p>
        </w:tc>
        <w:tc>
          <w:tcPr>
            <w:tcW w:w="222" w:type="dxa"/>
          </w:tcPr>
          <w:p w14:paraId="2FD20CC3" w14:textId="216223F6" w:rsidR="008F4FB8" w:rsidRPr="0046062F" w:rsidRDefault="008F4FB8" w:rsidP="001C22DD">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14"/>
              </w:rPr>
            </w:pPr>
            <w:r w:rsidRPr="0046062F">
              <w:rPr>
                <w:rFonts w:ascii="Calibri" w:hAnsi="Calibri" w:cs="Calibri"/>
                <w:color w:val="000000" w:themeColor="text1"/>
                <w:sz w:val="14"/>
              </w:rPr>
              <w:t>1300</w:t>
            </w:r>
          </w:p>
        </w:tc>
        <w:tc>
          <w:tcPr>
            <w:tcW w:w="948" w:type="dxa"/>
          </w:tcPr>
          <w:p w14:paraId="244B3BB9" w14:textId="527A1059" w:rsidR="008F4FB8" w:rsidRPr="0046062F" w:rsidRDefault="008F4FB8" w:rsidP="001C22DD">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14"/>
              </w:rPr>
            </w:pPr>
            <w:r w:rsidRPr="0046062F">
              <w:rPr>
                <w:rFonts w:ascii="Calibri" w:hAnsi="Calibri" w:cs="Calibri"/>
                <w:color w:val="000000" w:themeColor="text1"/>
                <w:sz w:val="14"/>
              </w:rPr>
              <w:t>1.1</w:t>
            </w:r>
          </w:p>
        </w:tc>
        <w:tc>
          <w:tcPr>
            <w:tcW w:w="948" w:type="dxa"/>
          </w:tcPr>
          <w:p w14:paraId="753EEBB7" w14:textId="77777777" w:rsidR="008F4FB8" w:rsidRPr="0046062F" w:rsidRDefault="008F4FB8" w:rsidP="001C22DD">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14"/>
              </w:rPr>
            </w:pPr>
            <w:r w:rsidRPr="0046062F">
              <w:rPr>
                <w:rFonts w:ascii="Calibri" w:hAnsi="Calibri" w:cs="Calibri"/>
                <w:color w:val="000000" w:themeColor="text1"/>
                <w:sz w:val="14"/>
              </w:rPr>
              <w:t>3.7</w:t>
            </w:r>
          </w:p>
        </w:tc>
        <w:tc>
          <w:tcPr>
            <w:tcW w:w="944" w:type="dxa"/>
          </w:tcPr>
          <w:p w14:paraId="09E5BE93" w14:textId="77777777" w:rsidR="008F4FB8" w:rsidRPr="0046062F" w:rsidRDefault="008F4FB8" w:rsidP="001C22DD">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14"/>
              </w:rPr>
            </w:pPr>
            <w:r w:rsidRPr="0046062F">
              <w:rPr>
                <w:rFonts w:ascii="Calibri" w:hAnsi="Calibri" w:cs="Calibri"/>
                <w:color w:val="000000" w:themeColor="text1"/>
                <w:sz w:val="14"/>
              </w:rPr>
              <w:t>2.5</w:t>
            </w:r>
          </w:p>
        </w:tc>
        <w:tc>
          <w:tcPr>
            <w:tcW w:w="361" w:type="dxa"/>
          </w:tcPr>
          <w:p w14:paraId="4DCCC0E1" w14:textId="77777777" w:rsidR="008F4FB8" w:rsidRPr="0046062F" w:rsidRDefault="008F4FB8" w:rsidP="001C22DD">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14"/>
              </w:rPr>
            </w:pPr>
          </w:p>
        </w:tc>
        <w:tc>
          <w:tcPr>
            <w:tcW w:w="1023" w:type="dxa"/>
          </w:tcPr>
          <w:p w14:paraId="43104969" w14:textId="77777777" w:rsidR="008F4FB8" w:rsidRPr="0046062F" w:rsidRDefault="008F4FB8" w:rsidP="001C22DD">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14"/>
              </w:rPr>
            </w:pPr>
            <w:r w:rsidRPr="0046062F">
              <w:rPr>
                <w:rFonts w:ascii="Calibri" w:hAnsi="Calibri" w:cs="Calibri"/>
                <w:color w:val="000000" w:themeColor="text1"/>
                <w:sz w:val="14"/>
              </w:rPr>
              <w:t>1.15</w:t>
            </w:r>
          </w:p>
        </w:tc>
        <w:tc>
          <w:tcPr>
            <w:tcW w:w="1023" w:type="dxa"/>
          </w:tcPr>
          <w:p w14:paraId="62DD1A88" w14:textId="77777777" w:rsidR="008F4FB8" w:rsidRPr="0046062F" w:rsidRDefault="008F4FB8" w:rsidP="001C22DD">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14"/>
              </w:rPr>
            </w:pPr>
            <w:r w:rsidRPr="0046062F">
              <w:rPr>
                <w:rFonts w:ascii="Calibri" w:hAnsi="Calibri" w:cs="Calibri"/>
                <w:color w:val="000000" w:themeColor="text1"/>
                <w:sz w:val="14"/>
              </w:rPr>
              <w:t>3.62</w:t>
            </w:r>
          </w:p>
        </w:tc>
        <w:tc>
          <w:tcPr>
            <w:tcW w:w="1019" w:type="dxa"/>
          </w:tcPr>
          <w:p w14:paraId="574FC7FE" w14:textId="77777777" w:rsidR="008F4FB8" w:rsidRPr="0046062F" w:rsidRDefault="008F4FB8" w:rsidP="001C22DD">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14"/>
              </w:rPr>
            </w:pPr>
            <w:r w:rsidRPr="0046062F">
              <w:rPr>
                <w:rFonts w:ascii="Calibri" w:hAnsi="Calibri" w:cs="Calibri"/>
                <w:color w:val="000000" w:themeColor="text1"/>
                <w:sz w:val="14"/>
              </w:rPr>
              <w:t>2.35</w:t>
            </w:r>
          </w:p>
        </w:tc>
      </w:tr>
      <w:tr w:rsidR="0046062F" w:rsidRPr="0046062F" w14:paraId="02045E02" w14:textId="77777777" w:rsidTr="008F4FB8">
        <w:tc>
          <w:tcPr>
            <w:cnfStyle w:val="001000000000" w:firstRow="0" w:lastRow="0" w:firstColumn="1" w:lastColumn="0" w:oddVBand="0" w:evenVBand="0" w:oddHBand="0" w:evenHBand="0" w:firstRowFirstColumn="0" w:firstRowLastColumn="0" w:lastRowFirstColumn="0" w:lastRowLastColumn="0"/>
            <w:tcW w:w="439" w:type="dxa"/>
          </w:tcPr>
          <w:p w14:paraId="226DAE38" w14:textId="77777777" w:rsidR="008F4FB8" w:rsidRPr="0046062F" w:rsidRDefault="008F4FB8" w:rsidP="001C22DD">
            <w:pPr>
              <w:jc w:val="both"/>
              <w:rPr>
                <w:rFonts w:ascii="Calibri" w:hAnsi="Calibri" w:cs="Calibri"/>
                <w:color w:val="000000" w:themeColor="text1"/>
              </w:rPr>
            </w:pPr>
          </w:p>
        </w:tc>
        <w:tc>
          <w:tcPr>
            <w:tcW w:w="778" w:type="dxa"/>
          </w:tcPr>
          <w:p w14:paraId="64C16EF0" w14:textId="77777777" w:rsidR="008F4FB8" w:rsidRPr="0046062F" w:rsidRDefault="008F4FB8" w:rsidP="001C22DD">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p>
        </w:tc>
        <w:tc>
          <w:tcPr>
            <w:tcW w:w="778" w:type="dxa"/>
          </w:tcPr>
          <w:p w14:paraId="6BC9C9CC" w14:textId="77777777" w:rsidR="008F4FB8" w:rsidRPr="0046062F" w:rsidRDefault="008F4FB8" w:rsidP="001C22DD">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p>
        </w:tc>
        <w:tc>
          <w:tcPr>
            <w:tcW w:w="543" w:type="dxa"/>
          </w:tcPr>
          <w:p w14:paraId="4E41C361" w14:textId="77777777" w:rsidR="008F4FB8" w:rsidRPr="0046062F" w:rsidRDefault="008F4FB8" w:rsidP="001C22DD">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p>
        </w:tc>
        <w:tc>
          <w:tcPr>
            <w:tcW w:w="222" w:type="dxa"/>
          </w:tcPr>
          <w:p w14:paraId="46E0A90D" w14:textId="77777777" w:rsidR="008F4FB8" w:rsidRPr="0046062F" w:rsidRDefault="008F4FB8" w:rsidP="001C22DD">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p>
        </w:tc>
        <w:tc>
          <w:tcPr>
            <w:tcW w:w="948" w:type="dxa"/>
          </w:tcPr>
          <w:p w14:paraId="374F846E" w14:textId="284053EE" w:rsidR="008F4FB8" w:rsidRPr="0046062F" w:rsidRDefault="008F4FB8" w:rsidP="001C22DD">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p>
        </w:tc>
        <w:tc>
          <w:tcPr>
            <w:tcW w:w="948" w:type="dxa"/>
          </w:tcPr>
          <w:p w14:paraId="00984A67" w14:textId="77777777" w:rsidR="008F4FB8" w:rsidRPr="0046062F" w:rsidRDefault="008F4FB8" w:rsidP="001C22DD">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p>
        </w:tc>
        <w:tc>
          <w:tcPr>
            <w:tcW w:w="944" w:type="dxa"/>
          </w:tcPr>
          <w:p w14:paraId="6D6B0E1C" w14:textId="77777777" w:rsidR="008F4FB8" w:rsidRPr="0046062F" w:rsidRDefault="008F4FB8" w:rsidP="001C22DD">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p>
        </w:tc>
        <w:tc>
          <w:tcPr>
            <w:tcW w:w="361" w:type="dxa"/>
          </w:tcPr>
          <w:p w14:paraId="3F0926F5" w14:textId="77777777" w:rsidR="008F4FB8" w:rsidRPr="0046062F" w:rsidRDefault="008F4FB8" w:rsidP="001C22DD">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p>
        </w:tc>
        <w:tc>
          <w:tcPr>
            <w:tcW w:w="1023" w:type="dxa"/>
          </w:tcPr>
          <w:p w14:paraId="5D2861D7" w14:textId="77777777" w:rsidR="008F4FB8" w:rsidRPr="0046062F" w:rsidRDefault="008F4FB8" w:rsidP="001C22DD">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p>
        </w:tc>
        <w:tc>
          <w:tcPr>
            <w:tcW w:w="1023" w:type="dxa"/>
          </w:tcPr>
          <w:p w14:paraId="713E50F7" w14:textId="77777777" w:rsidR="008F4FB8" w:rsidRPr="0046062F" w:rsidRDefault="008F4FB8" w:rsidP="001C22DD">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p>
        </w:tc>
        <w:tc>
          <w:tcPr>
            <w:tcW w:w="1019" w:type="dxa"/>
          </w:tcPr>
          <w:p w14:paraId="7EB50817" w14:textId="77777777" w:rsidR="008F4FB8" w:rsidRPr="0046062F" w:rsidRDefault="008F4FB8" w:rsidP="001C22DD">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p>
        </w:tc>
      </w:tr>
    </w:tbl>
    <w:p w14:paraId="3DDCB10E" w14:textId="0F22D5A2" w:rsidR="008F4FB8" w:rsidRDefault="00B748A7" w:rsidP="0067200F">
      <w:pPr>
        <w:pStyle w:val="Heading1"/>
      </w:pPr>
      <w:r>
        <w:t xml:space="preserve">2. </w:t>
      </w:r>
      <w:r w:rsidR="008F4FB8" w:rsidRPr="0046062F">
        <w:t>Results Obtained from Decision Trees</w:t>
      </w:r>
    </w:p>
    <w:p w14:paraId="1F67533F" w14:textId="6554C549" w:rsidR="00ED40B2" w:rsidRDefault="00B748A7" w:rsidP="0067200F">
      <w:pPr>
        <w:pStyle w:val="Heading2"/>
      </w:pPr>
      <w:r>
        <w:t xml:space="preserve">2.1 </w:t>
      </w:r>
      <w:r w:rsidR="003527EB">
        <w:t xml:space="preserve">Decision Trees </w:t>
      </w:r>
      <w:r w:rsidR="00D3429E">
        <w:t>without ELO ratings</w:t>
      </w:r>
    </w:p>
    <w:p w14:paraId="1A9A4EDE" w14:textId="49AF6417" w:rsidR="0046062F" w:rsidRDefault="008F4FB8" w:rsidP="00B00AF4">
      <w:pPr>
        <w:autoSpaceDE w:val="0"/>
        <w:autoSpaceDN w:val="0"/>
        <w:adjustRightInd w:val="0"/>
        <w:spacing w:after="0" w:line="240" w:lineRule="auto"/>
        <w:jc w:val="both"/>
        <w:rPr>
          <w:rFonts w:cstheme="minorHAnsi"/>
        </w:rPr>
      </w:pPr>
      <w:r w:rsidRPr="00EC7E11">
        <w:rPr>
          <w:color w:val="000000" w:themeColor="text1"/>
        </w:rPr>
        <w:t xml:space="preserve">In this section results obtained from the decision trees alone will be discussed. As previously </w:t>
      </w:r>
      <w:r w:rsidR="00102E63" w:rsidRPr="00EC7E11">
        <w:rPr>
          <w:color w:val="000000" w:themeColor="text1"/>
        </w:rPr>
        <w:t xml:space="preserve">stated in the methodology, a decision tree for all the data in the model was produced as well as a decision tree for each company that was present within the model. From the results obtained by using the models without ELO ratings hinted certain indications. </w:t>
      </w:r>
      <w:r w:rsidR="001C22DD" w:rsidRPr="00EC7E11">
        <w:rPr>
          <w:color w:val="000000" w:themeColor="text1"/>
        </w:rPr>
        <w:t>Figure 3 represents the percentage of games correctly classified by</w:t>
      </w:r>
      <w:r w:rsidR="00ED40B2">
        <w:rPr>
          <w:color w:val="000000" w:themeColor="text1"/>
        </w:rPr>
        <w:t xml:space="preserve"> the</w:t>
      </w:r>
      <w:r w:rsidR="001C22DD" w:rsidRPr="00EC7E11">
        <w:rPr>
          <w:color w:val="000000" w:themeColor="text1"/>
        </w:rPr>
        <w:t xml:space="preserve"> decision trees when using all the data within the </w:t>
      </w:r>
      <w:r w:rsidR="00ED40B2">
        <w:rPr>
          <w:color w:val="000000" w:themeColor="text1"/>
        </w:rPr>
        <w:t xml:space="preserve">given </w:t>
      </w:r>
      <w:r w:rsidR="001C22DD" w:rsidRPr="00EC7E11">
        <w:rPr>
          <w:color w:val="000000" w:themeColor="text1"/>
        </w:rPr>
        <w:t xml:space="preserve">model. It can be clearly seen that throughout the nineteen years of football odds included in this study, no notable progress </w:t>
      </w:r>
      <w:r w:rsidR="00EE5747" w:rsidRPr="00EC7E11">
        <w:rPr>
          <w:color w:val="000000" w:themeColor="text1"/>
        </w:rPr>
        <w:t xml:space="preserve">in the percentage of correctly classified matches </w:t>
      </w:r>
      <w:r w:rsidR="001C22DD" w:rsidRPr="00EC7E11">
        <w:rPr>
          <w:color w:val="000000" w:themeColor="text1"/>
        </w:rPr>
        <w:t xml:space="preserve">can be highlighted. This finding is compliant with the findings presented by </w:t>
      </w:r>
      <w:r w:rsidR="001C22DD" w:rsidRPr="00EC7E11">
        <w:rPr>
          <w:i/>
          <w:color w:val="000000" w:themeColor="text1"/>
        </w:rPr>
        <w:t>(Constantinou and Fenton, 2013)</w:t>
      </w:r>
      <w:r w:rsidR="001C22DD" w:rsidRPr="00EC7E11">
        <w:rPr>
          <w:color w:val="000000" w:themeColor="text1"/>
        </w:rPr>
        <w:t xml:space="preserve"> were it was highlighted that over the course of the fourteen years included in their study no apparent improvement was noticed. However, the same finding contrasts (</w:t>
      </w:r>
      <w:proofErr w:type="spellStart"/>
      <w:r w:rsidR="001C22DD" w:rsidRPr="00EC7E11">
        <w:rPr>
          <w:i/>
          <w:iCs/>
          <w:color w:val="000000" w:themeColor="text1"/>
        </w:rPr>
        <w:t>Štrumbelj</w:t>
      </w:r>
      <w:proofErr w:type="spellEnd"/>
      <w:r w:rsidR="001C22DD" w:rsidRPr="00EC7E11">
        <w:rPr>
          <w:i/>
          <w:iCs/>
          <w:color w:val="000000" w:themeColor="text1"/>
        </w:rPr>
        <w:t xml:space="preserve"> and </w:t>
      </w:r>
      <w:proofErr w:type="spellStart"/>
      <w:r w:rsidR="001C22DD" w:rsidRPr="00EC7E11">
        <w:rPr>
          <w:i/>
          <w:iCs/>
          <w:color w:val="000000" w:themeColor="text1"/>
        </w:rPr>
        <w:t>Šikonja</w:t>
      </w:r>
      <w:proofErr w:type="spellEnd"/>
      <w:r w:rsidR="001C22DD" w:rsidRPr="00EC7E11">
        <w:rPr>
          <w:i/>
          <w:iCs/>
          <w:color w:val="000000" w:themeColor="text1"/>
        </w:rPr>
        <w:t xml:space="preserve">, 2010) </w:t>
      </w:r>
      <w:r w:rsidR="001C22DD" w:rsidRPr="00EC7E11">
        <w:rPr>
          <w:iCs/>
          <w:color w:val="000000" w:themeColor="text1"/>
        </w:rPr>
        <w:t xml:space="preserve">as </w:t>
      </w:r>
      <w:r w:rsidR="00EE5747" w:rsidRPr="00EC7E11">
        <w:rPr>
          <w:iCs/>
          <w:color w:val="000000" w:themeColor="text1"/>
        </w:rPr>
        <w:t>in their study</w:t>
      </w:r>
      <w:r w:rsidR="00ED40B2">
        <w:rPr>
          <w:iCs/>
          <w:color w:val="000000" w:themeColor="text1"/>
        </w:rPr>
        <w:t xml:space="preserve"> they find that </w:t>
      </w:r>
      <w:r w:rsidR="00B00AF4">
        <w:rPr>
          <w:rFonts w:ascii="Calibri" w:hAnsi="Calibri" w:cs="Calibri"/>
          <w:color w:val="000000"/>
        </w:rPr>
        <w:t>i</w:t>
      </w:r>
      <w:r w:rsidR="00B00AF4" w:rsidRPr="00ED40B2">
        <w:rPr>
          <w:rFonts w:ascii="Calibri" w:hAnsi="Calibri" w:cs="Calibri"/>
          <w:color w:val="000000"/>
        </w:rPr>
        <w:t xml:space="preserve">mprovements </w:t>
      </w:r>
      <w:r w:rsidR="00B00AF4">
        <w:rPr>
          <w:rFonts w:ascii="Calibri" w:hAnsi="Calibri" w:cs="Calibri"/>
          <w:color w:val="000000"/>
        </w:rPr>
        <w:t>where visible</w:t>
      </w:r>
      <w:r w:rsidR="00B00AF4" w:rsidRPr="00ED40B2">
        <w:rPr>
          <w:rFonts w:ascii="Calibri" w:hAnsi="Calibri" w:cs="Calibri"/>
          <w:color w:val="000000"/>
        </w:rPr>
        <w:t xml:space="preserve"> over the years when using odds for forecasts</w:t>
      </w:r>
      <w:r w:rsidR="00EE5747" w:rsidRPr="00EC7E11">
        <w:rPr>
          <w:iCs/>
          <w:color w:val="000000" w:themeColor="text1"/>
        </w:rPr>
        <w:t xml:space="preserve">. The second notable </w:t>
      </w:r>
      <w:r w:rsidR="00FA1423" w:rsidRPr="00EC7E11">
        <w:rPr>
          <w:iCs/>
          <w:color w:val="000000" w:themeColor="text1"/>
        </w:rPr>
        <w:t xml:space="preserve">observation is that </w:t>
      </w:r>
      <w:r w:rsidR="00B00AF4">
        <w:rPr>
          <w:iCs/>
          <w:color w:val="000000" w:themeColor="text1"/>
        </w:rPr>
        <w:t xml:space="preserve">all the obtained results </w:t>
      </w:r>
      <w:r w:rsidR="00FA1423" w:rsidRPr="00EC7E11">
        <w:rPr>
          <w:iCs/>
          <w:color w:val="000000" w:themeColor="text1"/>
        </w:rPr>
        <w:t xml:space="preserve">except that of the 2004/2005 season all relied between 40 </w:t>
      </w:r>
      <w:r w:rsidR="00B00AF4">
        <w:rPr>
          <w:iCs/>
          <w:color w:val="000000" w:themeColor="text1"/>
        </w:rPr>
        <w:t>and</w:t>
      </w:r>
      <w:r w:rsidR="00FA1423" w:rsidRPr="00EC7E11">
        <w:rPr>
          <w:iCs/>
          <w:color w:val="000000" w:themeColor="text1"/>
        </w:rPr>
        <w:t xml:space="preserve"> 50%</w:t>
      </w:r>
      <w:r w:rsidR="00B00AF4">
        <w:rPr>
          <w:iCs/>
          <w:color w:val="000000" w:themeColor="text1"/>
        </w:rPr>
        <w:t xml:space="preserve"> or slightly over</w:t>
      </w:r>
      <w:r w:rsidR="00FA1423" w:rsidRPr="00EC7E11">
        <w:rPr>
          <w:iCs/>
          <w:color w:val="000000" w:themeColor="text1"/>
        </w:rPr>
        <w:t xml:space="preserve">. Such finding is </w:t>
      </w:r>
      <w:r w:rsidR="00D250F9" w:rsidRPr="00EC7E11">
        <w:rPr>
          <w:iCs/>
          <w:color w:val="000000" w:themeColor="text1"/>
        </w:rPr>
        <w:t xml:space="preserve">loosely </w:t>
      </w:r>
      <w:r w:rsidR="00FA1423" w:rsidRPr="00EC7E11">
        <w:rPr>
          <w:iCs/>
          <w:color w:val="000000" w:themeColor="text1"/>
        </w:rPr>
        <w:t xml:space="preserve">complimentary </w:t>
      </w:r>
      <w:r w:rsidR="00D250F9" w:rsidRPr="00EC7E11">
        <w:rPr>
          <w:iCs/>
          <w:color w:val="000000" w:themeColor="text1"/>
        </w:rPr>
        <w:t xml:space="preserve">to </w:t>
      </w:r>
      <w:r w:rsidR="00D250F9" w:rsidRPr="00EC7E11">
        <w:rPr>
          <w:i/>
          <w:iCs/>
          <w:color w:val="000000" w:themeColor="text1"/>
        </w:rPr>
        <w:t>(Constantinou and Fenton,2013)</w:t>
      </w:r>
      <w:r w:rsidR="00591C3F" w:rsidRPr="00EC7E11">
        <w:rPr>
          <w:i/>
          <w:iCs/>
          <w:color w:val="000000" w:themeColor="text1"/>
        </w:rPr>
        <w:t>’</w:t>
      </w:r>
      <w:r w:rsidR="00D250F9" w:rsidRPr="00EC7E11">
        <w:rPr>
          <w:i/>
          <w:iCs/>
          <w:color w:val="000000" w:themeColor="text1"/>
        </w:rPr>
        <w:t xml:space="preserve">s </w:t>
      </w:r>
      <w:r w:rsidR="00D250F9" w:rsidRPr="00EC7E11">
        <w:rPr>
          <w:iCs/>
          <w:color w:val="000000" w:themeColor="text1"/>
        </w:rPr>
        <w:t>finding w</w:t>
      </w:r>
      <w:r w:rsidR="00841B85" w:rsidRPr="00EC7E11">
        <w:rPr>
          <w:iCs/>
          <w:color w:val="000000" w:themeColor="text1"/>
        </w:rPr>
        <w:t>h</w:t>
      </w:r>
      <w:r w:rsidR="00D250F9" w:rsidRPr="00EC7E11">
        <w:rPr>
          <w:iCs/>
          <w:color w:val="000000" w:themeColor="text1"/>
        </w:rPr>
        <w:t>ere they state that accuracy of odds between bookmakers is extremely consistent.</w:t>
      </w:r>
      <w:r w:rsidR="000865D7" w:rsidRPr="00EC7E11">
        <w:rPr>
          <w:iCs/>
          <w:color w:val="000000" w:themeColor="text1"/>
        </w:rPr>
        <w:t xml:space="preserve"> This </w:t>
      </w:r>
      <w:r w:rsidR="0067200F" w:rsidRPr="00EC7E11">
        <w:rPr>
          <w:iCs/>
          <w:color w:val="000000" w:themeColor="text1"/>
        </w:rPr>
        <w:t>argument is</w:t>
      </w:r>
      <w:r w:rsidR="00B00AF4">
        <w:rPr>
          <w:iCs/>
          <w:color w:val="000000" w:themeColor="text1"/>
        </w:rPr>
        <w:t xml:space="preserve"> even</w:t>
      </w:r>
      <w:r w:rsidR="000865D7" w:rsidRPr="00EC7E11">
        <w:rPr>
          <w:iCs/>
          <w:color w:val="000000" w:themeColor="text1"/>
        </w:rPr>
        <w:t xml:space="preserve"> further confirmed when looking at the results obtain</w:t>
      </w:r>
      <w:r w:rsidR="00B00AF4">
        <w:rPr>
          <w:iCs/>
          <w:color w:val="000000" w:themeColor="text1"/>
        </w:rPr>
        <w:t>ed</w:t>
      </w:r>
      <w:r w:rsidR="000865D7" w:rsidRPr="00EC7E11">
        <w:rPr>
          <w:iCs/>
          <w:color w:val="000000" w:themeColor="text1"/>
        </w:rPr>
        <w:t xml:space="preserve"> by the decision trees when given odds of just one company</w:t>
      </w:r>
      <w:r w:rsidR="0067200F" w:rsidRPr="00EC7E11">
        <w:rPr>
          <w:iCs/>
          <w:color w:val="000000" w:themeColor="text1"/>
        </w:rPr>
        <w:t xml:space="preserve"> (Figure 4)</w:t>
      </w:r>
      <w:r w:rsidR="000865D7" w:rsidRPr="00EC7E11">
        <w:rPr>
          <w:iCs/>
          <w:color w:val="000000" w:themeColor="text1"/>
        </w:rPr>
        <w:t xml:space="preserve">. While performing slightly better than the decision trees with all the data, most of the results obtained still fell </w:t>
      </w:r>
      <w:r w:rsidR="00B00AF4">
        <w:rPr>
          <w:iCs/>
          <w:color w:val="000000" w:themeColor="text1"/>
        </w:rPr>
        <w:t>with</w:t>
      </w:r>
      <w:r w:rsidR="000865D7" w:rsidRPr="00EC7E11">
        <w:rPr>
          <w:iCs/>
          <w:color w:val="000000" w:themeColor="text1"/>
        </w:rPr>
        <w:t>in the same range (40-50%)</w:t>
      </w:r>
      <w:r w:rsidR="00841B85" w:rsidRPr="00EC7E11">
        <w:rPr>
          <w:iCs/>
          <w:color w:val="000000" w:themeColor="text1"/>
        </w:rPr>
        <w:t xml:space="preserve">. Such observation </w:t>
      </w:r>
      <w:r w:rsidR="00813D0E" w:rsidRPr="00EC7E11">
        <w:rPr>
          <w:iCs/>
          <w:color w:val="000000" w:themeColor="text1"/>
        </w:rPr>
        <w:t>is in an agreement with the finding</w:t>
      </w:r>
      <w:r w:rsidR="00B00AF4">
        <w:rPr>
          <w:iCs/>
          <w:color w:val="000000" w:themeColor="text1"/>
        </w:rPr>
        <w:t xml:space="preserve"> made</w:t>
      </w:r>
      <w:r w:rsidR="00813D0E" w:rsidRPr="00EC7E11">
        <w:rPr>
          <w:iCs/>
          <w:color w:val="000000" w:themeColor="text1"/>
        </w:rPr>
        <w:t xml:space="preserve"> by </w:t>
      </w:r>
      <w:r w:rsidR="00813D0E" w:rsidRPr="00EC7E11">
        <w:rPr>
          <w:rFonts w:cstheme="minorHAnsi"/>
        </w:rPr>
        <w:t>(Marek, 2018</w:t>
      </w:r>
      <w:r w:rsidR="00EC7E11" w:rsidRPr="00EC7E11">
        <w:rPr>
          <w:rFonts w:cstheme="minorHAnsi"/>
        </w:rPr>
        <w:t xml:space="preserve">) where it is </w:t>
      </w:r>
      <w:r w:rsidR="00813D0E" w:rsidRPr="00EC7E11">
        <w:rPr>
          <w:rFonts w:cstheme="minorHAnsi"/>
        </w:rPr>
        <w:t xml:space="preserve">suggested </w:t>
      </w:r>
      <w:r w:rsidR="00EC7E11" w:rsidRPr="00EC7E11">
        <w:rPr>
          <w:rFonts w:cstheme="minorHAnsi"/>
        </w:rPr>
        <w:t>that such close results suggest that the model’s bookmakers use to produce the probabilities</w:t>
      </w:r>
      <w:r w:rsidR="00B00AF4">
        <w:rPr>
          <w:rFonts w:cstheme="minorHAnsi"/>
        </w:rPr>
        <w:t xml:space="preserve"> are very similar to one another</w:t>
      </w:r>
      <w:r w:rsidR="00EC7E11" w:rsidRPr="00EC7E11">
        <w:rPr>
          <w:rFonts w:cstheme="minorHAnsi"/>
        </w:rPr>
        <w:t>.</w:t>
      </w:r>
    </w:p>
    <w:p w14:paraId="689F9481" w14:textId="77777777" w:rsidR="00A568CE" w:rsidRPr="00B00AF4" w:rsidRDefault="00A568CE" w:rsidP="00B00AF4">
      <w:pPr>
        <w:autoSpaceDE w:val="0"/>
        <w:autoSpaceDN w:val="0"/>
        <w:adjustRightInd w:val="0"/>
        <w:spacing w:after="0" w:line="240" w:lineRule="auto"/>
        <w:jc w:val="both"/>
        <w:rPr>
          <w:rFonts w:ascii="Calibri" w:hAnsi="Calibri" w:cs="Calibri"/>
          <w:color w:val="000000"/>
        </w:rPr>
      </w:pPr>
    </w:p>
    <w:p w14:paraId="64956DCC" w14:textId="30E88528" w:rsidR="00E41054" w:rsidRDefault="00A568CE">
      <w:pPr>
        <w:rPr>
          <w:rFonts w:ascii="Calibri" w:hAnsi="Calibri" w:cs="Calibri"/>
          <w:iCs/>
          <w:color w:val="000000" w:themeColor="text1"/>
        </w:rPr>
      </w:pPr>
      <w:r>
        <w:rPr>
          <w:iCs/>
          <w:color w:val="000000" w:themeColor="text1"/>
        </w:rPr>
        <w:lastRenderedPageBreak/>
        <w:t>Figure 2.1 A</w:t>
      </w:r>
    </w:p>
    <w:p w14:paraId="233D5B04" w14:textId="7A207181" w:rsidR="00E41054" w:rsidRPr="00A568CE" w:rsidRDefault="00E41054" w:rsidP="00A568CE">
      <w:pPr>
        <w:pStyle w:val="Default"/>
        <w:jc w:val="center"/>
        <w:rPr>
          <w:iCs/>
          <w:color w:val="000000" w:themeColor="text1"/>
          <w:sz w:val="22"/>
          <w:szCs w:val="22"/>
        </w:rPr>
      </w:pPr>
      <w:r>
        <w:rPr>
          <w:noProof/>
        </w:rPr>
        <w:drawing>
          <wp:inline distT="0" distB="0" distL="0" distR="0" wp14:anchorId="42A86E68" wp14:editId="5441C49C">
            <wp:extent cx="4572000" cy="2574388"/>
            <wp:effectExtent l="0" t="0" r="0" b="16510"/>
            <wp:docPr id="12" name="Chart 12">
              <a:extLst xmlns:a="http://schemas.openxmlformats.org/drawingml/2006/main">
                <a:ext uri="{FF2B5EF4-FFF2-40B4-BE49-F238E27FC236}">
                  <a16:creationId xmlns:a16="http://schemas.microsoft.com/office/drawing/2014/main" id="{69836B89-D31D-4FB3-8067-1B08D2DD380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333A5A95" w14:textId="77777777" w:rsidR="0046062F" w:rsidRPr="00EC7E11" w:rsidRDefault="0046062F" w:rsidP="00B00AF4">
      <w:pPr>
        <w:pStyle w:val="Default"/>
        <w:jc w:val="both"/>
        <w:rPr>
          <w:iCs/>
          <w:color w:val="000000" w:themeColor="text1"/>
          <w:sz w:val="22"/>
          <w:szCs w:val="22"/>
        </w:rPr>
      </w:pPr>
    </w:p>
    <w:p w14:paraId="6AEE3CBF" w14:textId="6632279A" w:rsidR="001C22DD" w:rsidRPr="00192DD9" w:rsidRDefault="00D250F9" w:rsidP="0046062F">
      <w:pPr>
        <w:pStyle w:val="Default"/>
        <w:jc w:val="both"/>
        <w:rPr>
          <w:rFonts w:cstheme="minorHAnsi"/>
          <w:sz w:val="22"/>
          <w:szCs w:val="23"/>
        </w:rPr>
      </w:pPr>
      <w:r w:rsidRPr="00EC7E11">
        <w:rPr>
          <w:iCs/>
          <w:color w:val="000000" w:themeColor="text1"/>
          <w:sz w:val="22"/>
          <w:szCs w:val="22"/>
        </w:rPr>
        <w:t>When looking closely at the results obtained</w:t>
      </w:r>
      <w:r w:rsidR="00B00AF4">
        <w:rPr>
          <w:iCs/>
          <w:color w:val="000000" w:themeColor="text1"/>
          <w:sz w:val="22"/>
          <w:szCs w:val="22"/>
        </w:rPr>
        <w:t xml:space="preserve"> </w:t>
      </w:r>
      <w:proofErr w:type="gramStart"/>
      <w:r w:rsidR="00B00AF4">
        <w:rPr>
          <w:iCs/>
          <w:color w:val="000000" w:themeColor="text1"/>
          <w:sz w:val="22"/>
          <w:szCs w:val="22"/>
        </w:rPr>
        <w:t>by the use of</w:t>
      </w:r>
      <w:proofErr w:type="gramEnd"/>
      <w:r w:rsidR="00B00AF4">
        <w:rPr>
          <w:iCs/>
          <w:color w:val="000000" w:themeColor="text1"/>
          <w:sz w:val="22"/>
          <w:szCs w:val="22"/>
        </w:rPr>
        <w:t xml:space="preserve"> a cross table</w:t>
      </w:r>
      <w:r w:rsidRPr="00EC7E11">
        <w:rPr>
          <w:iCs/>
          <w:color w:val="000000" w:themeColor="text1"/>
          <w:sz w:val="22"/>
          <w:szCs w:val="22"/>
        </w:rPr>
        <w:t xml:space="preserve"> in R studio (Figure </w:t>
      </w:r>
      <w:r w:rsidR="0067200F" w:rsidRPr="00EC7E11">
        <w:rPr>
          <w:iCs/>
          <w:color w:val="000000" w:themeColor="text1"/>
          <w:sz w:val="22"/>
          <w:szCs w:val="22"/>
        </w:rPr>
        <w:t xml:space="preserve">5 </w:t>
      </w:r>
      <w:r w:rsidRPr="00EC7E11">
        <w:rPr>
          <w:iCs/>
          <w:color w:val="000000" w:themeColor="text1"/>
          <w:sz w:val="22"/>
          <w:szCs w:val="22"/>
        </w:rPr>
        <w:t xml:space="preserve">and </w:t>
      </w:r>
      <w:r w:rsidR="0067200F" w:rsidRPr="00EC7E11">
        <w:rPr>
          <w:iCs/>
          <w:color w:val="000000" w:themeColor="text1"/>
          <w:sz w:val="22"/>
          <w:szCs w:val="22"/>
        </w:rPr>
        <w:t>6</w:t>
      </w:r>
      <w:r w:rsidRPr="00EC7E11">
        <w:rPr>
          <w:iCs/>
          <w:color w:val="000000" w:themeColor="text1"/>
          <w:sz w:val="22"/>
          <w:szCs w:val="22"/>
        </w:rPr>
        <w:t xml:space="preserve">) one can clearly see that the most correctly classified results are those </w:t>
      </w:r>
      <w:r w:rsidR="00B00AF4">
        <w:rPr>
          <w:iCs/>
          <w:color w:val="000000" w:themeColor="text1"/>
          <w:sz w:val="22"/>
          <w:szCs w:val="22"/>
        </w:rPr>
        <w:t>matches who finished in wins by the</w:t>
      </w:r>
      <w:r w:rsidRPr="00EC7E11">
        <w:rPr>
          <w:iCs/>
          <w:color w:val="000000" w:themeColor="text1"/>
          <w:sz w:val="22"/>
          <w:szCs w:val="22"/>
        </w:rPr>
        <w:t xml:space="preserve"> home</w:t>
      </w:r>
      <w:r w:rsidR="00B00AF4">
        <w:rPr>
          <w:iCs/>
          <w:color w:val="000000" w:themeColor="text1"/>
          <w:sz w:val="22"/>
          <w:szCs w:val="22"/>
        </w:rPr>
        <w:t xml:space="preserve"> team</w:t>
      </w:r>
      <w:r w:rsidRPr="00EC7E11">
        <w:rPr>
          <w:iCs/>
          <w:color w:val="000000" w:themeColor="text1"/>
          <w:sz w:val="22"/>
          <w:szCs w:val="22"/>
        </w:rPr>
        <w:t xml:space="preserve">. </w:t>
      </w:r>
      <w:r w:rsidR="00B00AF4">
        <w:rPr>
          <w:iCs/>
          <w:color w:val="000000" w:themeColor="text1"/>
          <w:sz w:val="22"/>
          <w:szCs w:val="22"/>
        </w:rPr>
        <w:t>To compliment</w:t>
      </w:r>
      <w:r w:rsidR="0046062F" w:rsidRPr="00EC7E11">
        <w:rPr>
          <w:iCs/>
          <w:color w:val="000000" w:themeColor="text1"/>
          <w:sz w:val="22"/>
          <w:szCs w:val="22"/>
        </w:rPr>
        <w:t xml:space="preserve"> this argument are the findings provided by (</w:t>
      </w:r>
      <w:r w:rsidR="0046062F" w:rsidRPr="00EC7E11">
        <w:rPr>
          <w:i/>
          <w:iCs/>
          <w:color w:val="000000" w:themeColor="text1"/>
          <w:sz w:val="22"/>
          <w:szCs w:val="22"/>
        </w:rPr>
        <w:t xml:space="preserve">S. Mohammad </w:t>
      </w:r>
      <w:proofErr w:type="spellStart"/>
      <w:r w:rsidR="0046062F" w:rsidRPr="00EC7E11">
        <w:rPr>
          <w:i/>
          <w:iCs/>
          <w:color w:val="000000" w:themeColor="text1"/>
          <w:sz w:val="22"/>
          <w:szCs w:val="22"/>
        </w:rPr>
        <w:t>Arabzad</w:t>
      </w:r>
      <w:proofErr w:type="spellEnd"/>
      <w:r w:rsidR="0046062F" w:rsidRPr="00EC7E11">
        <w:rPr>
          <w:i/>
          <w:iCs/>
          <w:color w:val="000000" w:themeColor="text1"/>
          <w:sz w:val="22"/>
          <w:szCs w:val="22"/>
        </w:rPr>
        <w:t xml:space="preserve"> et al. 2014</w:t>
      </w:r>
      <w:r w:rsidR="0046062F" w:rsidRPr="00EC7E11">
        <w:rPr>
          <w:iCs/>
          <w:color w:val="000000" w:themeColor="text1"/>
          <w:sz w:val="22"/>
          <w:szCs w:val="22"/>
        </w:rPr>
        <w:t>), who highlight that i</w:t>
      </w:r>
      <w:r w:rsidR="0046062F" w:rsidRPr="00EC7E11">
        <w:rPr>
          <w:color w:val="000000" w:themeColor="text1"/>
          <w:sz w:val="22"/>
          <w:szCs w:val="22"/>
        </w:rPr>
        <w:t>n most cases the home team is predicted to outscore the away team, thus winning the match.</w:t>
      </w:r>
      <w:r w:rsidR="00EC7E11">
        <w:rPr>
          <w:color w:val="000000" w:themeColor="text1"/>
          <w:sz w:val="22"/>
          <w:szCs w:val="22"/>
        </w:rPr>
        <w:t xml:space="preserve"> This finding could also suggest that the home team is more likely to win a match. One factor that may cause such findings is </w:t>
      </w:r>
      <w:r w:rsidR="00B00AF4">
        <w:rPr>
          <w:color w:val="000000" w:themeColor="text1"/>
          <w:sz w:val="22"/>
          <w:szCs w:val="22"/>
        </w:rPr>
        <w:t xml:space="preserve">the </w:t>
      </w:r>
      <w:r w:rsidR="00EC7E11">
        <w:rPr>
          <w:color w:val="000000" w:themeColor="text1"/>
          <w:sz w:val="22"/>
          <w:szCs w:val="22"/>
        </w:rPr>
        <w:t>travel</w:t>
      </w:r>
      <w:r w:rsidR="00B00AF4">
        <w:rPr>
          <w:color w:val="000000" w:themeColor="text1"/>
          <w:sz w:val="22"/>
          <w:szCs w:val="22"/>
        </w:rPr>
        <w:t>ling involved</w:t>
      </w:r>
      <w:r w:rsidR="00EC7E11">
        <w:rPr>
          <w:color w:val="000000" w:themeColor="text1"/>
          <w:sz w:val="22"/>
          <w:szCs w:val="22"/>
        </w:rPr>
        <w:t xml:space="preserve">. </w:t>
      </w:r>
      <w:r w:rsidR="00B00AF4">
        <w:rPr>
          <w:color w:val="000000" w:themeColor="text1"/>
          <w:sz w:val="22"/>
          <w:szCs w:val="22"/>
        </w:rPr>
        <w:t>A</w:t>
      </w:r>
      <w:r w:rsidR="00EC7E11">
        <w:rPr>
          <w:color w:val="000000" w:themeColor="text1"/>
          <w:sz w:val="22"/>
          <w:szCs w:val="22"/>
        </w:rPr>
        <w:t xml:space="preserve">way teams must travel to the home teams’ ground. Such argument is sustained by the finding presented by </w:t>
      </w:r>
      <w:r w:rsidR="00EC7E11" w:rsidRPr="00192DD9">
        <w:rPr>
          <w:rFonts w:cstheme="minorHAnsi"/>
          <w:i/>
          <w:sz w:val="22"/>
          <w:szCs w:val="23"/>
        </w:rPr>
        <w:t xml:space="preserve">(Goddard and </w:t>
      </w:r>
      <w:proofErr w:type="spellStart"/>
      <w:r w:rsidR="00EC7E11" w:rsidRPr="00192DD9">
        <w:rPr>
          <w:rFonts w:cstheme="minorHAnsi"/>
          <w:i/>
          <w:sz w:val="22"/>
          <w:szCs w:val="23"/>
        </w:rPr>
        <w:t>Asimakopoulos</w:t>
      </w:r>
      <w:proofErr w:type="spellEnd"/>
      <w:r w:rsidR="00EC7E11" w:rsidRPr="00192DD9">
        <w:rPr>
          <w:rFonts w:cstheme="minorHAnsi"/>
          <w:i/>
          <w:sz w:val="22"/>
          <w:szCs w:val="23"/>
        </w:rPr>
        <w:t>, 2003)</w:t>
      </w:r>
      <w:r w:rsidR="00192DD9">
        <w:rPr>
          <w:rFonts w:cstheme="minorHAnsi"/>
          <w:i/>
          <w:sz w:val="22"/>
          <w:szCs w:val="23"/>
        </w:rPr>
        <w:t xml:space="preserve"> </w:t>
      </w:r>
      <w:r w:rsidR="00192DD9" w:rsidRPr="00192DD9">
        <w:rPr>
          <w:rFonts w:cstheme="minorHAnsi"/>
          <w:sz w:val="22"/>
          <w:szCs w:val="23"/>
        </w:rPr>
        <w:t xml:space="preserve">where </w:t>
      </w:r>
      <w:r w:rsidR="00B00AF4">
        <w:rPr>
          <w:rFonts w:cstheme="minorHAnsi"/>
          <w:sz w:val="22"/>
          <w:szCs w:val="23"/>
        </w:rPr>
        <w:t>it is</w:t>
      </w:r>
      <w:r w:rsidR="00192DD9" w:rsidRPr="00192DD9">
        <w:rPr>
          <w:rFonts w:cstheme="minorHAnsi"/>
          <w:sz w:val="22"/>
          <w:szCs w:val="23"/>
        </w:rPr>
        <w:t xml:space="preserve"> state</w:t>
      </w:r>
      <w:r w:rsidR="00B00AF4">
        <w:rPr>
          <w:rFonts w:cstheme="minorHAnsi"/>
          <w:sz w:val="22"/>
          <w:szCs w:val="23"/>
        </w:rPr>
        <w:t>d</w:t>
      </w:r>
      <w:r w:rsidR="00192DD9">
        <w:rPr>
          <w:rFonts w:cstheme="minorHAnsi"/>
          <w:i/>
          <w:sz w:val="22"/>
          <w:szCs w:val="23"/>
        </w:rPr>
        <w:t xml:space="preserve"> </w:t>
      </w:r>
      <w:r w:rsidR="00EC7E11" w:rsidRPr="00192DD9">
        <w:rPr>
          <w:rFonts w:cstheme="minorHAnsi"/>
          <w:sz w:val="22"/>
          <w:szCs w:val="23"/>
        </w:rPr>
        <w:t>that the</w:t>
      </w:r>
      <w:r w:rsidR="00192DD9">
        <w:rPr>
          <w:rFonts w:cstheme="minorHAnsi"/>
          <w:sz w:val="22"/>
          <w:szCs w:val="23"/>
        </w:rPr>
        <w:t xml:space="preserve"> home</w:t>
      </w:r>
      <w:r w:rsidR="00EC7E11" w:rsidRPr="00192DD9">
        <w:rPr>
          <w:rFonts w:cstheme="minorHAnsi"/>
          <w:sz w:val="22"/>
          <w:szCs w:val="23"/>
        </w:rPr>
        <w:t xml:space="preserve"> advantage may increase in cases where the teams are from opposite ends of a country</w:t>
      </w:r>
      <w:r w:rsidR="00B00AF4">
        <w:rPr>
          <w:rFonts w:cstheme="minorHAnsi"/>
          <w:sz w:val="22"/>
          <w:szCs w:val="23"/>
        </w:rPr>
        <w:t xml:space="preserve"> (Thus having to travel further)</w:t>
      </w:r>
      <w:r w:rsidR="00192DD9">
        <w:rPr>
          <w:rFonts w:cstheme="minorHAnsi"/>
          <w:sz w:val="22"/>
          <w:szCs w:val="23"/>
        </w:rPr>
        <w:t xml:space="preserve">. </w:t>
      </w:r>
      <w:r w:rsidR="00192DD9" w:rsidRPr="00192DD9">
        <w:rPr>
          <w:rFonts w:cstheme="minorHAnsi"/>
          <w:i/>
          <w:sz w:val="22"/>
          <w:szCs w:val="23"/>
        </w:rPr>
        <w:t xml:space="preserve">(Goddard and </w:t>
      </w:r>
      <w:proofErr w:type="spellStart"/>
      <w:r w:rsidR="00192DD9" w:rsidRPr="00192DD9">
        <w:rPr>
          <w:rFonts w:cstheme="minorHAnsi"/>
          <w:i/>
          <w:sz w:val="22"/>
          <w:szCs w:val="23"/>
        </w:rPr>
        <w:t>Asimakopoulos</w:t>
      </w:r>
      <w:proofErr w:type="spellEnd"/>
      <w:r w:rsidR="00192DD9" w:rsidRPr="00192DD9">
        <w:rPr>
          <w:rFonts w:cstheme="minorHAnsi"/>
          <w:i/>
          <w:sz w:val="22"/>
          <w:szCs w:val="23"/>
        </w:rPr>
        <w:t>, 2003)</w:t>
      </w:r>
      <w:r w:rsidR="00192DD9">
        <w:rPr>
          <w:rFonts w:cstheme="minorHAnsi"/>
          <w:i/>
          <w:sz w:val="22"/>
          <w:szCs w:val="23"/>
        </w:rPr>
        <w:t xml:space="preserve"> </w:t>
      </w:r>
      <w:r w:rsidR="00192DD9">
        <w:rPr>
          <w:rFonts w:cstheme="minorHAnsi"/>
          <w:sz w:val="22"/>
          <w:szCs w:val="23"/>
        </w:rPr>
        <w:t>also note that such advantage loses some of its affect when the match is a derby</w:t>
      </w:r>
      <w:r w:rsidR="00B00AF4">
        <w:rPr>
          <w:rFonts w:cstheme="minorHAnsi"/>
          <w:sz w:val="22"/>
          <w:szCs w:val="23"/>
        </w:rPr>
        <w:t xml:space="preserve"> between two local clubs</w:t>
      </w:r>
      <w:r w:rsidR="00192DD9">
        <w:rPr>
          <w:rFonts w:cstheme="minorHAnsi"/>
          <w:sz w:val="22"/>
          <w:szCs w:val="23"/>
        </w:rPr>
        <w:t>. Another factor that may lead to such advantage</w:t>
      </w:r>
      <w:r w:rsidR="00B00AF4">
        <w:rPr>
          <w:rFonts w:cstheme="minorHAnsi"/>
          <w:sz w:val="22"/>
          <w:szCs w:val="23"/>
        </w:rPr>
        <w:t xml:space="preserve"> for the home team</w:t>
      </w:r>
      <w:r w:rsidR="00192DD9">
        <w:rPr>
          <w:rFonts w:cstheme="minorHAnsi"/>
          <w:sz w:val="22"/>
          <w:szCs w:val="23"/>
        </w:rPr>
        <w:t xml:space="preserve"> could be </w:t>
      </w:r>
      <w:r w:rsidR="00192DD9">
        <w:rPr>
          <w:color w:val="000000" w:themeColor="text1"/>
          <w:sz w:val="22"/>
          <w:szCs w:val="22"/>
        </w:rPr>
        <w:t>the</w:t>
      </w:r>
      <w:r w:rsidR="00B00AF4">
        <w:rPr>
          <w:color w:val="000000" w:themeColor="text1"/>
          <w:sz w:val="22"/>
          <w:szCs w:val="22"/>
        </w:rPr>
        <w:t xml:space="preserve"> support</w:t>
      </w:r>
      <w:r w:rsidR="009014E6">
        <w:rPr>
          <w:color w:val="000000" w:themeColor="text1"/>
          <w:sz w:val="22"/>
          <w:szCs w:val="22"/>
        </w:rPr>
        <w:t xml:space="preserve"> during the matches played in the home stadium</w:t>
      </w:r>
      <w:r w:rsidR="00192DD9">
        <w:rPr>
          <w:color w:val="000000" w:themeColor="text1"/>
          <w:sz w:val="22"/>
          <w:szCs w:val="22"/>
        </w:rPr>
        <w:t>, which can boost home team morale while intimidating (in sports terms) the away team.</w:t>
      </w:r>
    </w:p>
    <w:p w14:paraId="40C2B19A" w14:textId="77777777" w:rsidR="000865D7" w:rsidRPr="0046062F" w:rsidRDefault="000865D7" w:rsidP="0046062F">
      <w:pPr>
        <w:pStyle w:val="Default"/>
        <w:jc w:val="both"/>
        <w:rPr>
          <w:color w:val="000000" w:themeColor="text1"/>
          <w:sz w:val="22"/>
          <w:szCs w:val="22"/>
        </w:rPr>
      </w:pPr>
    </w:p>
    <w:p w14:paraId="2C2EADA6" w14:textId="60C12BCF" w:rsidR="0046062F" w:rsidRDefault="0046062F" w:rsidP="0046062F">
      <w:pPr>
        <w:pStyle w:val="Default"/>
        <w:jc w:val="both"/>
        <w:rPr>
          <w:color w:val="000000" w:themeColor="text1"/>
          <w:sz w:val="22"/>
          <w:szCs w:val="22"/>
        </w:rPr>
      </w:pPr>
    </w:p>
    <w:p w14:paraId="6DBA847B" w14:textId="2C3223C9" w:rsidR="00591C3F" w:rsidRDefault="00591C3F" w:rsidP="0046062F">
      <w:pPr>
        <w:pStyle w:val="Default"/>
        <w:jc w:val="both"/>
        <w:rPr>
          <w:color w:val="000000" w:themeColor="text1"/>
          <w:sz w:val="22"/>
          <w:szCs w:val="22"/>
        </w:rPr>
      </w:pPr>
      <w:r>
        <w:rPr>
          <w:color w:val="000000" w:themeColor="text1"/>
          <w:sz w:val="22"/>
          <w:szCs w:val="22"/>
        </w:rPr>
        <w:t xml:space="preserve">Figure </w:t>
      </w:r>
      <w:r w:rsidR="00A568CE">
        <w:rPr>
          <w:color w:val="000000" w:themeColor="text1"/>
          <w:sz w:val="22"/>
          <w:szCs w:val="22"/>
        </w:rPr>
        <w:t>2.1 B</w:t>
      </w:r>
    </w:p>
    <w:p w14:paraId="1A93A0F3" w14:textId="77777777" w:rsidR="00A568CE" w:rsidRDefault="00A568CE" w:rsidP="0046062F">
      <w:pPr>
        <w:pStyle w:val="Default"/>
        <w:jc w:val="both"/>
        <w:rPr>
          <w:color w:val="000000" w:themeColor="text1"/>
          <w:sz w:val="22"/>
          <w:szCs w:val="22"/>
        </w:rPr>
      </w:pPr>
    </w:p>
    <w:p w14:paraId="46BCB269" w14:textId="7C3A5037" w:rsidR="0046062F" w:rsidRPr="0046062F" w:rsidRDefault="00591C3F" w:rsidP="00591C3F">
      <w:pPr>
        <w:pStyle w:val="Default"/>
        <w:jc w:val="center"/>
        <w:rPr>
          <w:color w:val="000000" w:themeColor="text1"/>
          <w:sz w:val="22"/>
          <w:szCs w:val="22"/>
        </w:rPr>
      </w:pPr>
      <w:r>
        <w:rPr>
          <w:noProof/>
        </w:rPr>
        <mc:AlternateContent>
          <mc:Choice Requires="wps">
            <w:drawing>
              <wp:anchor distT="0" distB="0" distL="114300" distR="114300" simplePos="0" relativeHeight="251659264" behindDoc="0" locked="0" layoutInCell="1" allowOverlap="1" wp14:anchorId="18AC2EE4" wp14:editId="5D9C2C7B">
                <wp:simplePos x="0" y="0"/>
                <wp:positionH relativeFrom="column">
                  <wp:posOffset>3348111</wp:posOffset>
                </wp:positionH>
                <wp:positionV relativeFrom="paragraph">
                  <wp:posOffset>1417760</wp:posOffset>
                </wp:positionV>
                <wp:extent cx="724486"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724486" cy="0"/>
                        </a:xfrm>
                        <a:prstGeom prst="line">
                          <a:avLst/>
                        </a:prstGeom>
                        <a:ln>
                          <a:solidFill>
                            <a:srgbClr val="FF0000"/>
                          </a:solidFill>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23F062AB"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63.65pt,111.65pt" to="320.7pt,1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" strokecolor="red" strokeweight="1.5pt">
                <v:stroke joinstyle="miter"/>
              </v:line>
            </w:pict>
          </mc:Fallback>
        </mc:AlternateContent>
      </w:r>
      <w:r w:rsidR="0046062F">
        <w:rPr>
          <w:noProof/>
        </w:rPr>
        <w:drawing>
          <wp:inline distT="0" distB="0" distL="0" distR="0" wp14:anchorId="32099C18" wp14:editId="7B20DFA4">
            <wp:extent cx="4213274" cy="18157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72653" r="68951" b="3558"/>
                    <a:stretch/>
                  </pic:blipFill>
                  <pic:spPr bwMode="auto">
                    <a:xfrm>
                      <a:off x="0" y="0"/>
                      <a:ext cx="4226653" cy="1821472"/>
                    </a:xfrm>
                    <a:prstGeom prst="rect">
                      <a:avLst/>
                    </a:prstGeom>
                    <a:ln>
                      <a:noFill/>
                    </a:ln>
                    <a:extLst>
                      <a:ext uri="{53640926-AAD7-44D8-BBD7-CCE9431645EC}">
                        <a14:shadowObscured xmlns:a14="http://schemas.microsoft.com/office/drawing/2010/main"/>
                      </a:ext>
                    </a:extLst>
                  </pic:spPr>
                </pic:pic>
              </a:graphicData>
            </a:graphic>
          </wp:inline>
        </w:drawing>
      </w:r>
    </w:p>
    <w:p w14:paraId="4E2F72C6" w14:textId="4BEDAB09" w:rsidR="00591C3F" w:rsidRDefault="00591C3F" w:rsidP="001C22DD">
      <w:pPr>
        <w:jc w:val="both"/>
        <w:rPr>
          <w:rFonts w:ascii="Calibri" w:hAnsi="Calibri" w:cs="Calibri"/>
          <w:color w:val="000000" w:themeColor="text1"/>
        </w:rPr>
      </w:pPr>
    </w:p>
    <w:p w14:paraId="002480B0" w14:textId="77777777" w:rsidR="00E41054" w:rsidRDefault="00E41054" w:rsidP="001C22DD">
      <w:pPr>
        <w:jc w:val="both"/>
        <w:rPr>
          <w:rFonts w:ascii="Calibri" w:hAnsi="Calibri" w:cs="Calibri"/>
          <w:color w:val="000000" w:themeColor="text1"/>
        </w:rPr>
      </w:pPr>
    </w:p>
    <w:p w14:paraId="526ED085" w14:textId="77777777" w:rsidR="00E41054" w:rsidRDefault="00E41054" w:rsidP="001C22DD">
      <w:pPr>
        <w:jc w:val="both"/>
        <w:rPr>
          <w:rFonts w:ascii="Calibri" w:hAnsi="Calibri" w:cs="Calibri"/>
          <w:color w:val="000000" w:themeColor="text1"/>
        </w:rPr>
      </w:pPr>
    </w:p>
    <w:p w14:paraId="0CBD6A70" w14:textId="77777777" w:rsidR="00E41054" w:rsidRDefault="00E41054" w:rsidP="001C22DD">
      <w:pPr>
        <w:jc w:val="both"/>
        <w:rPr>
          <w:rFonts w:ascii="Calibri" w:hAnsi="Calibri" w:cs="Calibri"/>
          <w:color w:val="000000" w:themeColor="text1"/>
        </w:rPr>
      </w:pPr>
    </w:p>
    <w:p w14:paraId="7E245151" w14:textId="434C95FE" w:rsidR="008F4FB8" w:rsidRDefault="00591C3F" w:rsidP="001C22DD">
      <w:pPr>
        <w:jc w:val="both"/>
        <w:rPr>
          <w:rFonts w:ascii="Calibri" w:hAnsi="Calibri" w:cs="Calibri"/>
          <w:color w:val="000000" w:themeColor="text1"/>
        </w:rPr>
      </w:pPr>
      <w:r>
        <w:rPr>
          <w:rFonts w:ascii="Calibri" w:hAnsi="Calibri" w:cs="Calibri"/>
          <w:color w:val="000000" w:themeColor="text1"/>
        </w:rPr>
        <w:lastRenderedPageBreak/>
        <w:t xml:space="preserve">Figure </w:t>
      </w:r>
      <w:r w:rsidR="00A568CE">
        <w:rPr>
          <w:rFonts w:ascii="Calibri" w:hAnsi="Calibri" w:cs="Calibri"/>
          <w:color w:val="000000" w:themeColor="text1"/>
        </w:rPr>
        <w:t>2.1 C</w:t>
      </w:r>
    </w:p>
    <w:p w14:paraId="41D0A9B9" w14:textId="08242715" w:rsidR="00591C3F" w:rsidRDefault="00591C3F" w:rsidP="00591C3F">
      <w:pPr>
        <w:jc w:val="center"/>
        <w:rPr>
          <w:rFonts w:ascii="Calibri" w:hAnsi="Calibri" w:cs="Calibri"/>
          <w:color w:val="000000" w:themeColor="text1"/>
        </w:rPr>
      </w:pPr>
      <w:r>
        <w:rPr>
          <w:noProof/>
        </w:rPr>
        <mc:AlternateContent>
          <mc:Choice Requires="wps">
            <w:drawing>
              <wp:anchor distT="0" distB="0" distL="114300" distR="114300" simplePos="0" relativeHeight="251661312" behindDoc="0" locked="0" layoutInCell="1" allowOverlap="1" wp14:anchorId="342C4321" wp14:editId="42553286">
                <wp:simplePos x="0" y="0"/>
                <wp:positionH relativeFrom="column">
                  <wp:posOffset>3393489</wp:posOffset>
                </wp:positionH>
                <wp:positionV relativeFrom="paragraph">
                  <wp:posOffset>1459865</wp:posOffset>
                </wp:positionV>
                <wp:extent cx="72390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723900" cy="0"/>
                        </a:xfrm>
                        <a:prstGeom prst="line">
                          <a:avLst/>
                        </a:prstGeom>
                        <a:ln>
                          <a:solidFill>
                            <a:srgbClr val="FF0000"/>
                          </a:solidFill>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1AA8BAF3"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67.2pt,114.95pt" to="324.2pt,1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" strokecolor="red" strokeweight="1.5pt">
                <v:stroke joinstyle="miter"/>
              </v:line>
            </w:pict>
          </mc:Fallback>
        </mc:AlternateContent>
      </w:r>
      <w:r>
        <w:rPr>
          <w:noProof/>
        </w:rPr>
        <w:drawing>
          <wp:inline distT="0" distB="0" distL="0" distR="0" wp14:anchorId="0DB70F2C" wp14:editId="7F09AEB3">
            <wp:extent cx="4286664" cy="184990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72872" r="69565" b="3778"/>
                    <a:stretch/>
                  </pic:blipFill>
                  <pic:spPr bwMode="auto">
                    <a:xfrm>
                      <a:off x="0" y="0"/>
                      <a:ext cx="4297185" cy="1854442"/>
                    </a:xfrm>
                    <a:prstGeom prst="rect">
                      <a:avLst/>
                    </a:prstGeom>
                    <a:ln>
                      <a:noFill/>
                    </a:ln>
                    <a:extLst>
                      <a:ext uri="{53640926-AAD7-44D8-BBD7-CCE9431645EC}">
                        <a14:shadowObscured xmlns:a14="http://schemas.microsoft.com/office/drawing/2010/main"/>
                      </a:ext>
                    </a:extLst>
                  </pic:spPr>
                </pic:pic>
              </a:graphicData>
            </a:graphic>
          </wp:inline>
        </w:drawing>
      </w:r>
    </w:p>
    <w:p w14:paraId="6DFC04B4" w14:textId="56C4AB43" w:rsidR="000865D7" w:rsidRDefault="000865D7" w:rsidP="00813D0E">
      <w:pPr>
        <w:rPr>
          <w:rFonts w:ascii="Calibri" w:hAnsi="Calibri" w:cs="Calibri"/>
          <w:color w:val="000000" w:themeColor="text1"/>
        </w:rPr>
      </w:pPr>
    </w:p>
    <w:p w14:paraId="51EAFA90" w14:textId="33939DAA" w:rsidR="00813D0E" w:rsidRPr="00192DD9" w:rsidRDefault="009014E6" w:rsidP="00813D0E">
      <w:pPr>
        <w:jc w:val="both"/>
        <w:rPr>
          <w:rFonts w:ascii="Calibri" w:hAnsi="Calibri" w:cs="Calibri"/>
          <w:color w:val="000000" w:themeColor="text1"/>
        </w:rPr>
      </w:pPr>
      <w:proofErr w:type="gramStart"/>
      <w:r>
        <w:rPr>
          <w:rFonts w:ascii="Calibri" w:hAnsi="Calibri" w:cs="Calibri"/>
          <w:color w:val="000000" w:themeColor="text1"/>
        </w:rPr>
        <w:t>More often than not</w:t>
      </w:r>
      <w:proofErr w:type="gramEnd"/>
      <w:r>
        <w:rPr>
          <w:rFonts w:ascii="Calibri" w:hAnsi="Calibri" w:cs="Calibri"/>
          <w:color w:val="000000" w:themeColor="text1"/>
        </w:rPr>
        <w:t>, while using the cross table to examine the results</w:t>
      </w:r>
      <w:r w:rsidR="00813D0E" w:rsidRPr="00192DD9">
        <w:rPr>
          <w:rFonts w:ascii="Calibri" w:hAnsi="Calibri" w:cs="Calibri"/>
          <w:color w:val="000000" w:themeColor="text1"/>
        </w:rPr>
        <w:t>, the least correctly classified matches were those who finished as a draw. Obtaining such results could indicate that the draw</w:t>
      </w:r>
      <w:r>
        <w:rPr>
          <w:rFonts w:ascii="Calibri" w:hAnsi="Calibri" w:cs="Calibri"/>
          <w:color w:val="000000" w:themeColor="text1"/>
        </w:rPr>
        <w:t xml:space="preserve"> odd</w:t>
      </w:r>
      <w:r w:rsidR="00813D0E" w:rsidRPr="00192DD9">
        <w:rPr>
          <w:rFonts w:ascii="Calibri" w:hAnsi="Calibri" w:cs="Calibri"/>
          <w:color w:val="000000" w:themeColor="text1"/>
        </w:rPr>
        <w:t xml:space="preserve"> has little predictive value</w:t>
      </w:r>
      <w:r w:rsidR="00192DD9" w:rsidRPr="00192DD9">
        <w:rPr>
          <w:rFonts w:ascii="Calibri" w:hAnsi="Calibri" w:cs="Calibri"/>
          <w:color w:val="000000" w:themeColor="text1"/>
        </w:rPr>
        <w:t>,</w:t>
      </w:r>
      <w:r w:rsidR="00813D0E" w:rsidRPr="00192DD9">
        <w:rPr>
          <w:rFonts w:ascii="Calibri" w:hAnsi="Calibri" w:cs="Calibri"/>
          <w:color w:val="000000" w:themeColor="text1"/>
        </w:rPr>
        <w:t xml:space="preserve"> thus complimenting the statement by </w:t>
      </w:r>
      <w:r w:rsidR="00813D0E" w:rsidRPr="00192DD9">
        <w:rPr>
          <w:rFonts w:cstheme="minorHAnsi"/>
        </w:rPr>
        <w:t>(</w:t>
      </w:r>
      <w:proofErr w:type="spellStart"/>
      <w:r w:rsidR="00813D0E" w:rsidRPr="00192DD9">
        <w:rPr>
          <w:rFonts w:cstheme="minorHAnsi"/>
        </w:rPr>
        <w:t>Hvattum</w:t>
      </w:r>
      <w:proofErr w:type="spellEnd"/>
      <w:r w:rsidR="00813D0E" w:rsidRPr="00192DD9">
        <w:rPr>
          <w:rFonts w:cstheme="minorHAnsi"/>
        </w:rPr>
        <w:t>, 201</w:t>
      </w:r>
      <w:r w:rsidR="007936F4">
        <w:rPr>
          <w:rFonts w:cstheme="minorHAnsi"/>
        </w:rPr>
        <w:t>3</w:t>
      </w:r>
      <w:r w:rsidR="00813D0E" w:rsidRPr="00192DD9">
        <w:rPr>
          <w:rFonts w:cstheme="minorHAnsi"/>
        </w:rPr>
        <w:t>). (</w:t>
      </w:r>
      <w:proofErr w:type="spellStart"/>
      <w:r w:rsidR="00813D0E" w:rsidRPr="00192DD9">
        <w:rPr>
          <w:rFonts w:cstheme="minorHAnsi"/>
        </w:rPr>
        <w:t>Hvattum</w:t>
      </w:r>
      <w:proofErr w:type="spellEnd"/>
      <w:r w:rsidR="00813D0E" w:rsidRPr="00192DD9">
        <w:rPr>
          <w:rFonts w:cstheme="minorHAnsi"/>
        </w:rPr>
        <w:t>, 201</w:t>
      </w:r>
      <w:r w:rsidR="007936F4">
        <w:rPr>
          <w:rFonts w:cstheme="minorHAnsi"/>
        </w:rPr>
        <w:t>3</w:t>
      </w:r>
      <w:r w:rsidR="00813D0E" w:rsidRPr="00192DD9">
        <w:rPr>
          <w:rFonts w:cstheme="minorHAnsi"/>
        </w:rPr>
        <w:t>) stated that odds on the draw outcome have no noteworthy predictive properties.</w:t>
      </w:r>
      <w:r w:rsidR="00EC7E11" w:rsidRPr="00192DD9">
        <w:rPr>
          <w:rFonts w:cstheme="minorHAnsi"/>
        </w:rPr>
        <w:t xml:space="preserve"> Another indication could be that correctly predicting a draw is difficult since most of the </w:t>
      </w:r>
      <w:r>
        <w:rPr>
          <w:rFonts w:cstheme="minorHAnsi"/>
        </w:rPr>
        <w:t>matches in football</w:t>
      </w:r>
      <w:r w:rsidR="00EC7E11" w:rsidRPr="00192DD9">
        <w:rPr>
          <w:rFonts w:cstheme="minorHAnsi"/>
        </w:rPr>
        <w:t xml:space="preserve">, </w:t>
      </w:r>
      <w:r>
        <w:rPr>
          <w:rFonts w:cstheme="minorHAnsi"/>
        </w:rPr>
        <w:t xml:space="preserve">end up in a win for one of the sides involved. </w:t>
      </w:r>
    </w:p>
    <w:p w14:paraId="49140459" w14:textId="53AFFE8D" w:rsidR="000865D7" w:rsidRDefault="00B748A7" w:rsidP="0067200F">
      <w:pPr>
        <w:pStyle w:val="Heading2"/>
      </w:pPr>
      <w:r>
        <w:t xml:space="preserve">2.2 </w:t>
      </w:r>
      <w:r w:rsidR="009014E6">
        <w:t>E</w:t>
      </w:r>
      <w:r w:rsidR="0067200F">
        <w:t>LO</w:t>
      </w:r>
      <w:r w:rsidR="00D3429E">
        <w:t xml:space="preserve"> rating inclusive d</w:t>
      </w:r>
      <w:r w:rsidR="003527EB">
        <w:t>ecision trees</w:t>
      </w:r>
    </w:p>
    <w:p w14:paraId="5F2ED7E7" w14:textId="6C8EA453" w:rsidR="00B748A7" w:rsidRDefault="00813D0E" w:rsidP="003527EB">
      <w:pPr>
        <w:jc w:val="both"/>
      </w:pPr>
      <w:r>
        <w:br/>
        <w:t xml:space="preserve">To further enhance the model ELO ratings were added into the model. </w:t>
      </w:r>
      <w:r w:rsidR="003527EB">
        <w:t xml:space="preserve">These were added to indicate the quality of the teams involved in the match, thus aiding the model to produce better </w:t>
      </w:r>
      <w:r w:rsidR="009014E6">
        <w:t xml:space="preserve">classification </w:t>
      </w:r>
      <w:r w:rsidR="003527EB">
        <w:t>results. As can be seen from the figure below, in most cases, decision trees with ELO rating performed better than those who didn’t.</w:t>
      </w:r>
      <w:r w:rsidR="009014E6">
        <w:t xml:space="preserve"> This means that if one were to add more data rather than having just the odds, better results can be obtained. </w:t>
      </w:r>
      <w:r w:rsidR="003527EB">
        <w:t xml:space="preserve">However, it is worth noting that </w:t>
      </w:r>
      <w:r w:rsidR="009014E6">
        <w:t>not in all cases did the decision tree perform better with the ELO than without them</w:t>
      </w:r>
      <w:r w:rsidR="003527EB">
        <w:t>, especially when looking at individual betting companies. When looking at the results obtained by these decision trees it is clearly visible that the accuracy rate</w:t>
      </w:r>
      <w:r w:rsidR="009014E6">
        <w:t xml:space="preserve"> between the years involved,</w:t>
      </w:r>
      <w:r w:rsidR="003527EB">
        <w:t xml:space="preserve"> </w:t>
      </w:r>
      <w:r w:rsidR="009014E6">
        <w:t xml:space="preserve">tends to </w:t>
      </w:r>
      <w:r w:rsidR="003527EB">
        <w:t>fluctuate much more than that of decision trees without the</w:t>
      </w:r>
      <w:r w:rsidR="009014E6">
        <w:t xml:space="preserve"> provided ELO rating</w:t>
      </w:r>
      <w:r w:rsidR="003527EB">
        <w:t>.</w:t>
      </w:r>
    </w:p>
    <w:p w14:paraId="066A54EA" w14:textId="18935C05" w:rsidR="003527EB" w:rsidRDefault="00927110" w:rsidP="0067200F">
      <w:r>
        <w:t xml:space="preserve">Figure </w:t>
      </w:r>
      <w:r w:rsidR="00A568CE">
        <w:t>2.2 A</w:t>
      </w:r>
    </w:p>
    <w:p w14:paraId="48D505ED" w14:textId="6E29614D" w:rsidR="003527EB" w:rsidRDefault="003527EB" w:rsidP="003527EB">
      <w:pPr>
        <w:jc w:val="center"/>
      </w:pPr>
      <w:r>
        <w:rPr>
          <w:noProof/>
        </w:rPr>
        <w:drawing>
          <wp:inline distT="0" distB="0" distL="0" distR="0" wp14:anchorId="265A5E1E" wp14:editId="4B9EAAE2">
            <wp:extent cx="4051496" cy="2250831"/>
            <wp:effectExtent l="0" t="0" r="6350" b="16510"/>
            <wp:docPr id="5" name="Chart 5">
              <a:extLst xmlns:a="http://schemas.openxmlformats.org/drawingml/2006/main">
                <a:ext uri="{FF2B5EF4-FFF2-40B4-BE49-F238E27FC236}">
                  <a16:creationId xmlns:a16="http://schemas.microsoft.com/office/drawing/2014/main" id="{D1321D23-4BB7-48C6-95FD-4ABE278071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40AEE08" w14:textId="77777777" w:rsidR="00D3429E" w:rsidRPr="000E67DB" w:rsidRDefault="00D3429E" w:rsidP="000E67DB"/>
    <w:p w14:paraId="2FE86A7B" w14:textId="736ED592" w:rsidR="009014E6" w:rsidRDefault="00B748A7" w:rsidP="009014E6">
      <w:pPr>
        <w:pStyle w:val="Heading1"/>
      </w:pPr>
      <w:r>
        <w:lastRenderedPageBreak/>
        <w:t>2.3 League</w:t>
      </w:r>
      <w:r w:rsidR="009014E6">
        <w:t>s</w:t>
      </w:r>
    </w:p>
    <w:p w14:paraId="46992C93" w14:textId="05D814EC" w:rsidR="009014E6" w:rsidRDefault="009014E6" w:rsidP="009014E6"/>
    <w:p w14:paraId="741A3686" w14:textId="77777777" w:rsidR="000E67DB" w:rsidRDefault="00B748A7" w:rsidP="00B748A7">
      <w:pPr>
        <w:jc w:val="both"/>
      </w:pPr>
      <w:r>
        <w:t>Further investigation was carried out by investigating the behaviour of odds within a given league over the same period of the other models. From Figure 8 one can notice that although there are certain abnormal fluctuations, the percentage of accurately classified matches</w:t>
      </w:r>
      <w:r w:rsidR="001530F5">
        <w:t xml:space="preserve"> of all leagues,</w:t>
      </w:r>
      <w:r>
        <w:t xml:space="preserve"> is </w:t>
      </w:r>
      <w:proofErr w:type="gramStart"/>
      <w:r w:rsidR="001530F5">
        <w:t>similar to</w:t>
      </w:r>
      <w:proofErr w:type="gramEnd"/>
      <w:r w:rsidR="001530F5">
        <w:t xml:space="preserve"> that of </w:t>
      </w:r>
      <w:r>
        <w:t xml:space="preserve">previous models. </w:t>
      </w:r>
      <w:r w:rsidR="001530F5">
        <w:t>However,</w:t>
      </w:r>
      <w:r>
        <w:t xml:space="preserve"> </w:t>
      </w:r>
      <w:r w:rsidR="000E67DB">
        <w:t xml:space="preserve">when going further into detail and looking at each of the leagues individually some factors become more apparent. </w:t>
      </w:r>
    </w:p>
    <w:p w14:paraId="27A6A794" w14:textId="77777777" w:rsidR="000E67DB" w:rsidRDefault="000E67DB" w:rsidP="000E67DB">
      <w:pPr>
        <w:pStyle w:val="Heading2"/>
      </w:pPr>
    </w:p>
    <w:p w14:paraId="69DB8637" w14:textId="78A6693B" w:rsidR="000E67DB" w:rsidRDefault="000E67DB" w:rsidP="000E67DB">
      <w:pPr>
        <w:pStyle w:val="Heading2"/>
      </w:pPr>
      <w:r>
        <w:t>2.3.1 English Premier League</w:t>
      </w:r>
      <w:r w:rsidR="00F04A91">
        <w:br/>
      </w:r>
    </w:p>
    <w:p w14:paraId="686ED948" w14:textId="705CD0C8" w:rsidR="000E67DB" w:rsidRDefault="000E67DB" w:rsidP="00B748A7">
      <w:pPr>
        <w:jc w:val="both"/>
        <w:rPr>
          <w:rFonts w:cstheme="minorHAnsi"/>
          <w:sz w:val="23"/>
          <w:szCs w:val="23"/>
        </w:rPr>
      </w:pPr>
      <w:r>
        <w:t xml:space="preserve">When looking at the English Premier league one can notice </w:t>
      </w:r>
      <w:r w:rsidR="0049332E">
        <w:t xml:space="preserve">a </w:t>
      </w:r>
      <w:r>
        <w:t xml:space="preserve">slight dip in accuracy between </w:t>
      </w:r>
      <w:r w:rsidR="0049332E">
        <w:t xml:space="preserve">the </w:t>
      </w:r>
      <w:r>
        <w:t xml:space="preserve">seasons </w:t>
      </w:r>
      <w:r w:rsidR="0049332E">
        <w:t xml:space="preserve">of </w:t>
      </w:r>
      <w:r>
        <w:t xml:space="preserve">2009/10 - 2012/13 and again between 2014/15 - 2015/16. These dips in </w:t>
      </w:r>
      <w:r w:rsidR="00BA29F4">
        <w:t xml:space="preserve">percentage can be explained when looking at the league tables of those respective seasons. In 2009/10 a single point separated champions Chelsea F.C from second placed Man Utd. </w:t>
      </w:r>
      <w:r w:rsidR="00F04A91">
        <w:t xml:space="preserve">In 2011/12 even though the title was won with 9 points of a difference, both second and third place teams had the same amount of points (71) while the fourth had a mere three points less. This means that the race to finish in a champions league spot was very tight.  The infamous 2012/13 season was won literally in the last minute as both teams from Manchester had the same amount of points, with Man City edging out as winners only on goal difference. Such findings are supportive of the argument presented by </w:t>
      </w:r>
      <w:r w:rsidR="00F04A91" w:rsidRPr="00CB43B3">
        <w:rPr>
          <w:rFonts w:cstheme="minorHAnsi"/>
          <w:sz w:val="23"/>
          <w:szCs w:val="23"/>
        </w:rPr>
        <w:t>(</w:t>
      </w:r>
      <w:proofErr w:type="spellStart"/>
      <w:r w:rsidR="00F04A91" w:rsidRPr="00CB43B3">
        <w:rPr>
          <w:rFonts w:cstheme="minorHAnsi"/>
          <w:sz w:val="23"/>
          <w:szCs w:val="23"/>
        </w:rPr>
        <w:t>Štrumbelj</w:t>
      </w:r>
      <w:proofErr w:type="spellEnd"/>
      <w:r w:rsidR="00F04A91" w:rsidRPr="00CB43B3">
        <w:rPr>
          <w:rFonts w:cstheme="minorHAnsi"/>
          <w:sz w:val="23"/>
          <w:szCs w:val="23"/>
        </w:rPr>
        <w:t xml:space="preserve"> and </w:t>
      </w:r>
      <w:proofErr w:type="spellStart"/>
      <w:r w:rsidR="00F04A91" w:rsidRPr="00CB43B3">
        <w:rPr>
          <w:rFonts w:cstheme="minorHAnsi"/>
          <w:sz w:val="23"/>
          <w:szCs w:val="23"/>
        </w:rPr>
        <w:t>Šikonja</w:t>
      </w:r>
      <w:proofErr w:type="spellEnd"/>
      <w:r w:rsidR="00F04A91" w:rsidRPr="00CB43B3">
        <w:rPr>
          <w:rFonts w:cstheme="minorHAnsi"/>
          <w:sz w:val="23"/>
          <w:szCs w:val="23"/>
        </w:rPr>
        <w:t>, 2010)</w:t>
      </w:r>
      <w:r w:rsidR="00C86F20">
        <w:rPr>
          <w:rFonts w:cstheme="minorHAnsi"/>
          <w:sz w:val="23"/>
          <w:szCs w:val="23"/>
        </w:rPr>
        <w:t>,</w:t>
      </w:r>
      <w:r w:rsidR="00F04A91">
        <w:rPr>
          <w:rFonts w:cstheme="minorHAnsi"/>
          <w:sz w:val="23"/>
          <w:szCs w:val="23"/>
        </w:rPr>
        <w:t xml:space="preserve"> who state that such close and hard predict results</w:t>
      </w:r>
      <w:r w:rsidR="00F04A91" w:rsidRPr="00CB43B3">
        <w:rPr>
          <w:rFonts w:cstheme="minorHAnsi"/>
          <w:sz w:val="23"/>
          <w:szCs w:val="23"/>
        </w:rPr>
        <w:t xml:space="preserve"> caus</w:t>
      </w:r>
      <w:r w:rsidR="00F04A91">
        <w:rPr>
          <w:rFonts w:cstheme="minorHAnsi"/>
          <w:sz w:val="23"/>
          <w:szCs w:val="23"/>
        </w:rPr>
        <w:t>e</w:t>
      </w:r>
      <w:r w:rsidR="00F04A91" w:rsidRPr="00CB43B3">
        <w:rPr>
          <w:rFonts w:cstheme="minorHAnsi"/>
          <w:sz w:val="23"/>
          <w:szCs w:val="23"/>
        </w:rPr>
        <w:t xml:space="preserve"> the odds to be more inaccurate than on other competitions</w:t>
      </w:r>
      <w:r w:rsidR="00F04A91">
        <w:rPr>
          <w:rFonts w:cstheme="minorHAnsi"/>
          <w:sz w:val="23"/>
          <w:szCs w:val="23"/>
        </w:rPr>
        <w:t>.</w:t>
      </w:r>
      <w:r w:rsidR="00D3429E">
        <w:rPr>
          <w:rFonts w:cstheme="minorHAnsi"/>
          <w:sz w:val="23"/>
          <w:szCs w:val="23"/>
        </w:rPr>
        <w:t xml:space="preserve"> Causing the lower accuracy percentage in 2015/16 is Leicester city winning the premier league when odds on the same team becoming champions were </w:t>
      </w:r>
      <w:r w:rsidR="00D3429E" w:rsidRPr="00CB43B3">
        <w:rPr>
          <w:rFonts w:cstheme="minorHAnsi"/>
          <w:sz w:val="23"/>
          <w:szCs w:val="23"/>
        </w:rPr>
        <w:t>5000/1</w:t>
      </w:r>
      <w:r w:rsidR="00D3429E">
        <w:rPr>
          <w:rFonts w:cstheme="minorHAnsi"/>
          <w:sz w:val="23"/>
          <w:szCs w:val="23"/>
        </w:rPr>
        <w:t>.</w:t>
      </w:r>
    </w:p>
    <w:p w14:paraId="02FB0639" w14:textId="6FA49209" w:rsidR="00D3429E" w:rsidRDefault="00D3429E" w:rsidP="00B748A7">
      <w:pPr>
        <w:jc w:val="both"/>
        <w:rPr>
          <w:rFonts w:cstheme="minorHAnsi"/>
          <w:sz w:val="23"/>
          <w:szCs w:val="23"/>
        </w:rPr>
      </w:pPr>
    </w:p>
    <w:p w14:paraId="1783692B" w14:textId="10F9583A" w:rsidR="00A568CE" w:rsidRDefault="00A568CE" w:rsidP="00B748A7">
      <w:pPr>
        <w:jc w:val="both"/>
        <w:rPr>
          <w:rFonts w:cstheme="minorHAnsi"/>
          <w:sz w:val="23"/>
          <w:szCs w:val="23"/>
        </w:rPr>
      </w:pPr>
      <w:r>
        <w:rPr>
          <w:rFonts w:cstheme="minorHAnsi"/>
          <w:sz w:val="23"/>
          <w:szCs w:val="23"/>
        </w:rPr>
        <w:t>Figure 2.3.1 A</w:t>
      </w:r>
    </w:p>
    <w:p w14:paraId="3AEA36C1" w14:textId="56297094" w:rsidR="00D3429E" w:rsidRDefault="00E41054" w:rsidP="00D3429E">
      <w:pPr>
        <w:jc w:val="center"/>
      </w:pPr>
      <w:r>
        <w:rPr>
          <w:noProof/>
        </w:rPr>
        <w:drawing>
          <wp:inline distT="0" distB="0" distL="0" distR="0" wp14:anchorId="0ED0C34C" wp14:editId="6081864A">
            <wp:extent cx="4572000" cy="2743200"/>
            <wp:effectExtent l="0" t="0" r="0" b="0"/>
            <wp:docPr id="8" name="Chart 8">
              <a:extLst xmlns:a="http://schemas.openxmlformats.org/drawingml/2006/main">
                <a:ext uri="{FF2B5EF4-FFF2-40B4-BE49-F238E27FC236}">
                  <a16:creationId xmlns:a16="http://schemas.microsoft.com/office/drawing/2014/main" id="{C83D1925-9A59-4374-823F-7DB90F613D0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55D76D0" w14:textId="210E7885" w:rsidR="00B748A7" w:rsidRDefault="00B748A7" w:rsidP="009014E6"/>
    <w:p w14:paraId="433246AE" w14:textId="7ACE5C2C" w:rsidR="00E41054" w:rsidRDefault="00E41054" w:rsidP="009014E6"/>
    <w:p w14:paraId="59B2F174" w14:textId="40E5D784" w:rsidR="00E41054" w:rsidRDefault="00E41054" w:rsidP="009014E6"/>
    <w:p w14:paraId="4C89BDC4" w14:textId="5B41E7BC" w:rsidR="00E41054" w:rsidRDefault="00E41054" w:rsidP="009014E6"/>
    <w:p w14:paraId="0A6407D8" w14:textId="04DF4395" w:rsidR="00E41054" w:rsidRDefault="00E41054" w:rsidP="00E41054">
      <w:pPr>
        <w:pStyle w:val="Heading2"/>
      </w:pPr>
      <w:r>
        <w:t>2.3.2 Serie A</w:t>
      </w:r>
    </w:p>
    <w:p w14:paraId="71506EDD" w14:textId="5C48EBE9" w:rsidR="00927110" w:rsidRDefault="00927110" w:rsidP="009014E6"/>
    <w:p w14:paraId="2BD39A10" w14:textId="7775A523" w:rsidR="003A15A4" w:rsidRDefault="00335EC5" w:rsidP="00A568CE">
      <w:pPr>
        <w:jc w:val="both"/>
      </w:pPr>
      <w:r>
        <w:t xml:space="preserve">When looking at the results obtained on the </w:t>
      </w:r>
      <w:r w:rsidR="00616263">
        <w:t xml:space="preserve">Italian </w:t>
      </w:r>
      <w:r>
        <w:t xml:space="preserve">Serie A, </w:t>
      </w:r>
      <w:r w:rsidR="0049332E">
        <w:t>the results are contrasting to those in the premier league. Instead of a decrease,</w:t>
      </w:r>
      <w:r>
        <w:t xml:space="preserve"> one can see an increase in accuracy in the last three years.</w:t>
      </w:r>
      <w:r w:rsidR="0049332E">
        <w:t xml:space="preserve"> The increase is of </w:t>
      </w:r>
      <w:r w:rsidR="0049332E">
        <w:t>21.8%</w:t>
      </w:r>
      <w:r w:rsidR="0049332E">
        <w:t>, going from 37.4% in the season of 2014/15 up to 59.2% in the last season.</w:t>
      </w:r>
      <w:r>
        <w:t xml:space="preserve"> This increase could be due to the </w:t>
      </w:r>
      <w:r w:rsidR="00616263">
        <w:t xml:space="preserve">gap in </w:t>
      </w:r>
      <w:r w:rsidR="0049332E">
        <w:t xml:space="preserve">the </w:t>
      </w:r>
      <w:r w:rsidR="00616263">
        <w:t>quality between the participating</w:t>
      </w:r>
      <w:r w:rsidR="0049332E">
        <w:t xml:space="preserve"> teams</w:t>
      </w:r>
      <w:r>
        <w:t xml:space="preserve"> of the Serie A in</w:t>
      </w:r>
      <w:r w:rsidR="00616263">
        <w:t xml:space="preserve"> </w:t>
      </w:r>
      <w:r>
        <w:t>recent years. In the last 7 seasons included in t</w:t>
      </w:r>
      <w:r w:rsidR="00616263">
        <w:t>h</w:t>
      </w:r>
      <w:r>
        <w:t>is study</w:t>
      </w:r>
      <w:r w:rsidR="0049332E">
        <w:t xml:space="preserve"> (from 2011/12 onwards)</w:t>
      </w:r>
      <w:r>
        <w:t xml:space="preserve"> only one team has been crowned champion of Italian football</w:t>
      </w:r>
      <w:r w:rsidR="0049332E">
        <w:t>, with that team being</w:t>
      </w:r>
      <w:r>
        <w:t xml:space="preserve"> Juventus. </w:t>
      </w:r>
      <w:r w:rsidR="00616263">
        <w:t xml:space="preserve">This finding is also compliant with the statement made by </w:t>
      </w:r>
      <w:r w:rsidR="00616263" w:rsidRPr="00616263">
        <w:rPr>
          <w:rFonts w:cstheme="minorHAnsi"/>
          <w:szCs w:val="23"/>
        </w:rPr>
        <w:t>(</w:t>
      </w:r>
      <w:proofErr w:type="spellStart"/>
      <w:r w:rsidR="00616263" w:rsidRPr="00616263">
        <w:rPr>
          <w:rFonts w:cstheme="minorHAnsi"/>
          <w:szCs w:val="23"/>
        </w:rPr>
        <w:t>Štrumbelj</w:t>
      </w:r>
      <w:proofErr w:type="spellEnd"/>
      <w:r w:rsidR="00616263" w:rsidRPr="00616263">
        <w:rPr>
          <w:rFonts w:cstheme="minorHAnsi"/>
          <w:szCs w:val="23"/>
        </w:rPr>
        <w:t xml:space="preserve"> and </w:t>
      </w:r>
      <w:proofErr w:type="spellStart"/>
      <w:r w:rsidR="00616263" w:rsidRPr="00616263">
        <w:rPr>
          <w:rFonts w:cstheme="minorHAnsi"/>
          <w:szCs w:val="23"/>
        </w:rPr>
        <w:t>Šikonja</w:t>
      </w:r>
      <w:proofErr w:type="spellEnd"/>
      <w:r w:rsidR="00616263" w:rsidRPr="00616263">
        <w:rPr>
          <w:rFonts w:cstheme="minorHAnsi"/>
          <w:szCs w:val="23"/>
        </w:rPr>
        <w:t>, 2010)</w:t>
      </w:r>
      <w:r w:rsidR="00A568CE">
        <w:rPr>
          <w:rFonts w:cstheme="minorHAnsi"/>
          <w:szCs w:val="23"/>
        </w:rPr>
        <w:t xml:space="preserve"> mentioned prior. Since the results are quite predictable, the accuracy of odds has increased</w:t>
      </w:r>
      <w:r w:rsidR="0049332E">
        <w:rPr>
          <w:rFonts w:cstheme="minorHAnsi"/>
          <w:szCs w:val="23"/>
        </w:rPr>
        <w:t xml:space="preserve"> drastically</w:t>
      </w:r>
      <w:r w:rsidR="00A568CE">
        <w:rPr>
          <w:rFonts w:cstheme="minorHAnsi"/>
          <w:szCs w:val="23"/>
        </w:rPr>
        <w:t>.</w:t>
      </w:r>
    </w:p>
    <w:p w14:paraId="54FCF989" w14:textId="32291ABC" w:rsidR="00A568CE" w:rsidRDefault="00A568CE" w:rsidP="009014E6">
      <w:r>
        <w:t>Figure 2.3.2 A</w:t>
      </w:r>
    </w:p>
    <w:p w14:paraId="3DB6BC55" w14:textId="747B66C5" w:rsidR="00927110" w:rsidRDefault="003A15A4" w:rsidP="00616263">
      <w:pPr>
        <w:jc w:val="center"/>
      </w:pPr>
      <w:r>
        <w:rPr>
          <w:noProof/>
        </w:rPr>
        <w:drawing>
          <wp:inline distT="0" distB="0" distL="0" distR="0" wp14:anchorId="4B167710" wp14:editId="5906C9DF">
            <wp:extent cx="3699803" cy="2201594"/>
            <wp:effectExtent l="0" t="0" r="15240" b="8255"/>
            <wp:docPr id="13" name="Chart 13">
              <a:extLst xmlns:a="http://schemas.openxmlformats.org/drawingml/2006/main">
                <a:ext uri="{FF2B5EF4-FFF2-40B4-BE49-F238E27FC236}">
                  <a16:creationId xmlns:a16="http://schemas.microsoft.com/office/drawing/2014/main" id="{088DE8D2-92BA-481E-8078-3AFB056FF5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D228FF3" w14:textId="71F924D5" w:rsidR="00616263" w:rsidRDefault="00616263" w:rsidP="00616263">
      <w:pPr>
        <w:jc w:val="center"/>
      </w:pPr>
    </w:p>
    <w:p w14:paraId="393EB1D5" w14:textId="596E27ED" w:rsidR="00A568CE" w:rsidRDefault="00616263" w:rsidP="00A568CE">
      <w:pPr>
        <w:pStyle w:val="Heading2"/>
      </w:pPr>
      <w:r>
        <w:t xml:space="preserve">2.3.3 </w:t>
      </w:r>
      <w:r w:rsidR="00A568CE">
        <w:t>German Bundesliga Leagues</w:t>
      </w:r>
    </w:p>
    <w:p w14:paraId="4A513E52" w14:textId="67DAB196" w:rsidR="00A568CE" w:rsidRDefault="00A568CE" w:rsidP="00270A9E">
      <w:pPr>
        <w:jc w:val="both"/>
      </w:pPr>
      <w:r>
        <w:br/>
        <w:t xml:space="preserve">When looking at the German Bundesliga, results show that in the first years of this study there were some </w:t>
      </w:r>
      <w:r w:rsidR="007830F1">
        <w:t>fluctuations,</w:t>
      </w:r>
      <w:r>
        <w:t xml:space="preserve"> but</w:t>
      </w:r>
      <w:r w:rsidR="00270A9E">
        <w:t xml:space="preserve"> accuracy</w:t>
      </w:r>
      <w:r>
        <w:t xml:space="preserve"> ha</w:t>
      </w:r>
      <w:r w:rsidR="00270A9E">
        <w:t xml:space="preserve">s </w:t>
      </w:r>
      <w:r>
        <w:t xml:space="preserve">stabilised around </w:t>
      </w:r>
      <w:r w:rsidR="00270A9E">
        <w:t xml:space="preserve">the </w:t>
      </w:r>
      <w:r>
        <w:t>35%-40%</w:t>
      </w:r>
      <w:r w:rsidR="00270A9E">
        <w:t xml:space="preserve"> percentile </w:t>
      </w:r>
      <w:r>
        <w:t xml:space="preserve">in the last 5 years, suggesting that there is a common level of quality between </w:t>
      </w:r>
      <w:r w:rsidR="00270A9E">
        <w:t>the German teams</w:t>
      </w:r>
      <w:r>
        <w:t xml:space="preserve">. </w:t>
      </w:r>
    </w:p>
    <w:p w14:paraId="47AF0AEE" w14:textId="21433164" w:rsidR="008D49BA" w:rsidRDefault="008D49BA" w:rsidP="00A568CE"/>
    <w:p w14:paraId="14A414DB" w14:textId="77EF855B" w:rsidR="00270A9E" w:rsidRDefault="008D49BA" w:rsidP="00C86F20">
      <w:pPr>
        <w:jc w:val="center"/>
      </w:pPr>
      <w:r>
        <w:rPr>
          <w:noProof/>
        </w:rPr>
        <w:drawing>
          <wp:inline distT="0" distB="0" distL="0" distR="0" wp14:anchorId="09C6F6A3" wp14:editId="2591B588">
            <wp:extent cx="3600987" cy="1968940"/>
            <wp:effectExtent l="0" t="0" r="0" b="12700"/>
            <wp:docPr id="14" name="Chart 14">
              <a:extLst xmlns:a="http://schemas.openxmlformats.org/drawingml/2006/main">
                <a:ext uri="{FF2B5EF4-FFF2-40B4-BE49-F238E27FC236}">
                  <a16:creationId xmlns:a16="http://schemas.microsoft.com/office/drawing/2014/main" id="{9C872FFC-F94F-40E9-84C7-2759213302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ADBDA09" w14:textId="76116C21" w:rsidR="00270A9E" w:rsidRDefault="00270A9E" w:rsidP="00270A9E">
      <w:pPr>
        <w:pStyle w:val="Heading2"/>
      </w:pPr>
      <w:r>
        <w:br w:type="page"/>
      </w:r>
      <w:r>
        <w:lastRenderedPageBreak/>
        <w:t>2.3.4 La Liga</w:t>
      </w:r>
    </w:p>
    <w:p w14:paraId="156E225B" w14:textId="18FA546A" w:rsidR="00270A9E" w:rsidRDefault="00270A9E" w:rsidP="00270A9E"/>
    <w:p w14:paraId="56851F9A" w14:textId="16EFD310" w:rsidR="00270A9E" w:rsidRPr="00270A9E" w:rsidRDefault="00270A9E" w:rsidP="00270A9E">
      <w:pPr>
        <w:jc w:val="both"/>
      </w:pPr>
      <w:r>
        <w:t xml:space="preserve">As one can clearly notice at first glance, other than the two fluctuations in the 2009/10 and the following season, La Liga has a rather consistent percentage of accuracy. The fluctuations could have been caused by the fact that in the 2009/10 season the title was two-team race between Barcelona and Real Madrid. Barcelona won he league with 99 points while Real placed second with 96. The following season </w:t>
      </w:r>
      <w:r w:rsidR="001A5EE2">
        <w:t>followed along the same lines, with Barcelona and Real finishing in the same positions and points identical to the season prior.  Although the season of 2011/12 was no different for the two top teams, the difference between the third and sixth position, positions which allow qualification for European cup tournaments was only of 6 points</w:t>
      </w:r>
    </w:p>
    <w:p w14:paraId="0FF3A58F" w14:textId="11232456" w:rsidR="00270A9E" w:rsidRDefault="00270A9E" w:rsidP="00270A9E"/>
    <w:p w14:paraId="0C35B25D" w14:textId="34550F2D" w:rsidR="00270A9E" w:rsidRPr="00270A9E" w:rsidRDefault="00270A9E" w:rsidP="00270A9E">
      <w:pPr>
        <w:jc w:val="center"/>
      </w:pPr>
      <w:r>
        <w:rPr>
          <w:noProof/>
        </w:rPr>
        <w:drawing>
          <wp:inline distT="0" distB="0" distL="0" distR="0" wp14:anchorId="3E33F695" wp14:editId="1B1D9380">
            <wp:extent cx="3375660" cy="2074936"/>
            <wp:effectExtent l="0" t="0" r="15240" b="1905"/>
            <wp:docPr id="15" name="Chart 15">
              <a:extLst xmlns:a="http://schemas.openxmlformats.org/drawingml/2006/main">
                <a:ext uri="{FF2B5EF4-FFF2-40B4-BE49-F238E27FC236}">
                  <a16:creationId xmlns:a16="http://schemas.microsoft.com/office/drawing/2014/main" id="{207F6D78-F9A9-4ADD-91E0-4A9E9D5B12B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AB25B00" w14:textId="16C86328" w:rsidR="007830F1" w:rsidRDefault="00792D2B" w:rsidP="00CD7E2C">
      <w:pPr>
        <w:pStyle w:val="Heading2"/>
      </w:pPr>
      <w:r>
        <w:t>2.3.5 Ligue 1</w:t>
      </w:r>
    </w:p>
    <w:p w14:paraId="5BBC3C32" w14:textId="3E57EC4E" w:rsidR="00792D2B" w:rsidRDefault="007830F1" w:rsidP="00CD7E2C">
      <w:pPr>
        <w:jc w:val="both"/>
        <w:rPr>
          <w:rFonts w:ascii="Calibri" w:hAnsi="Calibri" w:cs="Calibri"/>
        </w:rPr>
      </w:pPr>
      <w:r w:rsidRPr="007830F1">
        <w:rPr>
          <w:rFonts w:ascii="Calibri" w:hAnsi="Calibri" w:cs="Calibri"/>
        </w:rPr>
        <w:t xml:space="preserve">Compared to all the results obtained above, Ligue 1 is the only league that does not have a single season with an accuracy of 50% or higher. This result is </w:t>
      </w:r>
      <w:proofErr w:type="gramStart"/>
      <w:r w:rsidRPr="007830F1">
        <w:rPr>
          <w:rFonts w:ascii="Calibri" w:hAnsi="Calibri" w:cs="Calibri"/>
        </w:rPr>
        <w:t>similar to</w:t>
      </w:r>
      <w:proofErr w:type="gramEnd"/>
      <w:r w:rsidRPr="007830F1">
        <w:rPr>
          <w:rFonts w:ascii="Calibri" w:hAnsi="Calibri" w:cs="Calibri"/>
        </w:rPr>
        <w:t xml:space="preserve"> the one obtained by </w:t>
      </w:r>
      <w:r w:rsidRPr="007830F1">
        <w:rPr>
          <w:rFonts w:ascii="Calibri" w:hAnsi="Calibri" w:cs="Calibri"/>
        </w:rPr>
        <w:t>(</w:t>
      </w:r>
      <w:proofErr w:type="spellStart"/>
      <w:r w:rsidRPr="007830F1">
        <w:rPr>
          <w:rFonts w:ascii="Calibri" w:hAnsi="Calibri" w:cs="Calibri"/>
        </w:rPr>
        <w:t>Štrumbelj</w:t>
      </w:r>
      <w:proofErr w:type="spellEnd"/>
      <w:r w:rsidRPr="007830F1">
        <w:rPr>
          <w:rFonts w:ascii="Calibri" w:hAnsi="Calibri" w:cs="Calibri"/>
        </w:rPr>
        <w:t xml:space="preserve"> and </w:t>
      </w:r>
      <w:proofErr w:type="spellStart"/>
      <w:r w:rsidRPr="007830F1">
        <w:rPr>
          <w:rFonts w:ascii="Calibri" w:hAnsi="Calibri" w:cs="Calibri"/>
        </w:rPr>
        <w:t>Šikonja</w:t>
      </w:r>
      <w:proofErr w:type="spellEnd"/>
      <w:r w:rsidRPr="007830F1">
        <w:rPr>
          <w:rFonts w:ascii="Calibri" w:hAnsi="Calibri" w:cs="Calibri"/>
        </w:rPr>
        <w:t>, 2010)</w:t>
      </w:r>
      <w:r w:rsidRPr="007830F1">
        <w:rPr>
          <w:rFonts w:ascii="Calibri" w:hAnsi="Calibri" w:cs="Calibri"/>
        </w:rPr>
        <w:t xml:space="preserve">. In their study </w:t>
      </w:r>
      <w:r w:rsidRPr="007830F1">
        <w:rPr>
          <w:rFonts w:ascii="Calibri" w:hAnsi="Calibri" w:cs="Calibri"/>
        </w:rPr>
        <w:t>(</w:t>
      </w:r>
      <w:proofErr w:type="spellStart"/>
      <w:r w:rsidRPr="007830F1">
        <w:rPr>
          <w:rFonts w:ascii="Calibri" w:hAnsi="Calibri" w:cs="Calibri"/>
        </w:rPr>
        <w:t>Štrumbelj</w:t>
      </w:r>
      <w:proofErr w:type="spellEnd"/>
      <w:r w:rsidRPr="007830F1">
        <w:rPr>
          <w:rFonts w:ascii="Calibri" w:hAnsi="Calibri" w:cs="Calibri"/>
        </w:rPr>
        <w:t xml:space="preserve"> and </w:t>
      </w:r>
      <w:proofErr w:type="spellStart"/>
      <w:r w:rsidRPr="007830F1">
        <w:rPr>
          <w:rFonts w:ascii="Calibri" w:hAnsi="Calibri" w:cs="Calibri"/>
        </w:rPr>
        <w:t>Šikonja</w:t>
      </w:r>
      <w:proofErr w:type="spellEnd"/>
      <w:r w:rsidRPr="007830F1">
        <w:rPr>
          <w:rFonts w:ascii="Calibri" w:hAnsi="Calibri" w:cs="Calibri"/>
        </w:rPr>
        <w:t>, 2010)</w:t>
      </w:r>
      <w:r w:rsidRPr="007830F1">
        <w:rPr>
          <w:rFonts w:ascii="Calibri" w:hAnsi="Calibri" w:cs="Calibri"/>
        </w:rPr>
        <w:t xml:space="preserve"> comment on how odds involving the French top division, just like in this study, performed the worst.</w:t>
      </w:r>
      <w:r>
        <w:rPr>
          <w:rFonts w:ascii="Calibri" w:hAnsi="Calibri" w:cs="Calibri"/>
        </w:rPr>
        <w:t xml:space="preserve">  Another observation on the results obtained is that the lowest percentage of accuracy obtained is also with</w:t>
      </w:r>
      <w:r w:rsidR="00E95208">
        <w:rPr>
          <w:rFonts w:ascii="Calibri" w:hAnsi="Calibri" w:cs="Calibri"/>
        </w:rPr>
        <w:t>in this league. The accuracy for the 2001/02 season was that of 22.3%. The fact that the league winner was decided in the final match and high average of goals scored in each match (2.3) could have led to the poor predictive capability of odds that season.</w:t>
      </w:r>
      <w:r w:rsidR="00CD7E2C">
        <w:rPr>
          <w:rFonts w:ascii="Calibri" w:hAnsi="Calibri" w:cs="Calibri"/>
        </w:rPr>
        <w:t xml:space="preserve"> In the 2012/13 season, race for European qualification and the fight to avoid relegation was also fierce. This could have caused the </w:t>
      </w:r>
      <w:proofErr w:type="gramStart"/>
      <w:r w:rsidR="00CD7E2C">
        <w:rPr>
          <w:rFonts w:ascii="Calibri" w:hAnsi="Calibri" w:cs="Calibri"/>
        </w:rPr>
        <w:t>drop in</w:t>
      </w:r>
      <w:proofErr w:type="gramEnd"/>
      <w:r w:rsidR="00CD7E2C">
        <w:rPr>
          <w:rFonts w:ascii="Calibri" w:hAnsi="Calibri" w:cs="Calibri"/>
        </w:rPr>
        <w:t xml:space="preserve"> accuracy for that particular season. </w:t>
      </w:r>
    </w:p>
    <w:p w14:paraId="6993992E" w14:textId="77777777" w:rsidR="00CD7E2C" w:rsidRDefault="00CD7E2C" w:rsidP="00CD7E2C">
      <w:pPr>
        <w:jc w:val="both"/>
      </w:pPr>
    </w:p>
    <w:p w14:paraId="6540B18B" w14:textId="6FCCCFB3" w:rsidR="00792D2B" w:rsidRPr="00792D2B" w:rsidRDefault="00A512EB" w:rsidP="00A512EB">
      <w:pPr>
        <w:pStyle w:val="Heading2"/>
        <w:jc w:val="center"/>
      </w:pPr>
      <w:r>
        <w:rPr>
          <w:noProof/>
        </w:rPr>
        <w:drawing>
          <wp:inline distT="0" distB="0" distL="0" distR="0" wp14:anchorId="1F48E69D" wp14:editId="3043C23C">
            <wp:extent cx="3270592" cy="1962150"/>
            <wp:effectExtent l="0" t="0" r="6350" b="0"/>
            <wp:docPr id="16" name="Chart 16">
              <a:extLst xmlns:a="http://schemas.openxmlformats.org/drawingml/2006/main">
                <a:ext uri="{FF2B5EF4-FFF2-40B4-BE49-F238E27FC236}">
                  <a16:creationId xmlns:a16="http://schemas.microsoft.com/office/drawing/2014/main" id="{BE34FAC8-763E-447F-BCD9-A1F51DA357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270A9E">
        <w:br w:type="page"/>
      </w:r>
    </w:p>
    <w:p w14:paraId="56DC6762" w14:textId="408FED7E" w:rsidR="00C86F20" w:rsidRDefault="00C86F20" w:rsidP="00C86F20">
      <w:pPr>
        <w:pStyle w:val="Heading1"/>
      </w:pPr>
      <w:r>
        <w:lastRenderedPageBreak/>
        <w:t>Bibliography</w:t>
      </w:r>
    </w:p>
    <w:p w14:paraId="6C96D403" w14:textId="41D61389" w:rsidR="00C86F20" w:rsidRDefault="00C86F20" w:rsidP="00C86F20"/>
    <w:p w14:paraId="74A80719" w14:textId="17626B2D" w:rsidR="00C86F20" w:rsidRDefault="00C86F20" w:rsidP="00C86F20">
      <w:pPr>
        <w:jc w:val="both"/>
      </w:pPr>
      <w:r>
        <w:t>For Past League Standings:</w:t>
      </w:r>
    </w:p>
    <w:p w14:paraId="35B6576B" w14:textId="74FFC6D6" w:rsidR="00C86F20" w:rsidRDefault="00C86F20" w:rsidP="00C86F20">
      <w:pPr>
        <w:jc w:val="both"/>
      </w:pPr>
      <w:hyperlink r:id="rId13" w:history="1">
        <w:r>
          <w:rPr>
            <w:rStyle w:val="Hyperlink"/>
          </w:rPr>
          <w:t>https://www.skysports.com/serie-a-table</w:t>
        </w:r>
      </w:hyperlink>
    </w:p>
    <w:p w14:paraId="3329162B" w14:textId="04A9F074" w:rsidR="00C86F20" w:rsidRDefault="00C86F20" w:rsidP="00C86F20">
      <w:hyperlink r:id="rId14" w:history="1">
        <w:r>
          <w:rPr>
            <w:rStyle w:val="Hyperlink"/>
          </w:rPr>
          <w:t>https://www.premierleague.com/tables</w:t>
        </w:r>
      </w:hyperlink>
    </w:p>
    <w:p w14:paraId="067A3609" w14:textId="3077D2D5" w:rsidR="00E95208" w:rsidRDefault="00E95208" w:rsidP="00C86F20">
      <w:hyperlink r:id="rId15" w:history="1">
        <w:r>
          <w:rPr>
            <w:rStyle w:val="Hyperlink"/>
          </w:rPr>
          <w:t>https://www.ligue1.com/ligue1/classement?sai=70&amp;journee1=1&amp;journee2=34&amp;cat=Gen</w:t>
        </w:r>
      </w:hyperlink>
    </w:p>
    <w:p w14:paraId="7FE01176" w14:textId="5772D4C8" w:rsidR="00CD7E2C" w:rsidRDefault="00CD7E2C" w:rsidP="00C86F20">
      <w:hyperlink r:id="rId16" w:history="1">
        <w:r>
          <w:rPr>
            <w:rStyle w:val="Hyperlink"/>
          </w:rPr>
          <w:t>https://www.transfermarkt.com/primera-division/tabelle/wettbewerb/ES1/saison_id/2018</w:t>
        </w:r>
      </w:hyperlink>
    </w:p>
    <w:p w14:paraId="6B59D0A6" w14:textId="77777777" w:rsidR="00CD7E2C" w:rsidRDefault="00CD7E2C" w:rsidP="00C86F20"/>
    <w:p w14:paraId="362126D8" w14:textId="5C14741B" w:rsidR="00E95208" w:rsidRDefault="004170FE" w:rsidP="00C86F20">
      <w:r>
        <w:t>References</w:t>
      </w:r>
    </w:p>
    <w:p w14:paraId="67F38931" w14:textId="77777777" w:rsidR="004170FE" w:rsidRPr="00EA69C8" w:rsidRDefault="004170FE" w:rsidP="004170FE">
      <w:pPr>
        <w:rPr>
          <w:rFonts w:cstheme="minorHAnsi"/>
        </w:rPr>
      </w:pPr>
      <w:r w:rsidRPr="00EA69C8">
        <w:rPr>
          <w:rFonts w:cstheme="minorHAnsi"/>
        </w:rPr>
        <w:t>Constantinou, A. C. and Fenton, Norman E. (2013). Profiting from arbitrage and odds biases of the European football gambling market</w:t>
      </w:r>
      <w:r w:rsidRPr="00EA69C8">
        <w:rPr>
          <w:rFonts w:cstheme="minorHAnsi"/>
          <w:i/>
        </w:rPr>
        <w:t xml:space="preserve">. The Journal of Gambling Business and Economics, </w:t>
      </w:r>
      <w:r w:rsidRPr="00EA69C8">
        <w:rPr>
          <w:rFonts w:cstheme="minorHAnsi"/>
        </w:rPr>
        <w:t>[online]</w:t>
      </w:r>
      <w:r w:rsidRPr="00EA69C8">
        <w:rPr>
          <w:rFonts w:cstheme="minorHAnsi"/>
          <w:i/>
        </w:rPr>
        <w:t xml:space="preserve"> </w:t>
      </w:r>
      <w:r w:rsidRPr="00EA69C8">
        <w:rPr>
          <w:rFonts w:cstheme="minorHAnsi"/>
        </w:rPr>
        <w:t>7(2)</w:t>
      </w:r>
      <w:r w:rsidRPr="00EA69C8">
        <w:rPr>
          <w:rFonts w:cstheme="minorHAnsi"/>
          <w:i/>
        </w:rPr>
        <w:t>: p.41.</w:t>
      </w:r>
      <w:r w:rsidRPr="00EA69C8">
        <w:rPr>
          <w:rFonts w:cstheme="minorHAnsi"/>
        </w:rPr>
        <w:t xml:space="preserve"> Available at: </w:t>
      </w:r>
      <w:hyperlink r:id="rId17" w:history="1">
        <w:r w:rsidRPr="00EA69C8">
          <w:rPr>
            <w:rStyle w:val="Hyperlink"/>
            <w:rFonts w:cstheme="minorHAnsi"/>
          </w:rPr>
          <w:t>http://constantinou.info/downloads/papers/evidenceofinefficiency.pdf</w:t>
        </w:r>
      </w:hyperlink>
      <w:r w:rsidRPr="00EA69C8">
        <w:rPr>
          <w:rFonts w:cstheme="minorHAnsi"/>
        </w:rPr>
        <w:t xml:space="preserve"> [Accessed 22 Sept. 2018]</w:t>
      </w:r>
    </w:p>
    <w:p w14:paraId="17A303A0" w14:textId="77777777" w:rsidR="004170FE" w:rsidRPr="00EA69C8" w:rsidRDefault="004170FE" w:rsidP="004170FE">
      <w:pPr>
        <w:tabs>
          <w:tab w:val="left" w:pos="0"/>
        </w:tabs>
        <w:spacing w:after="0" w:line="240" w:lineRule="auto"/>
        <w:rPr>
          <w:rFonts w:cstheme="minorHAnsi"/>
          <w:i/>
        </w:rPr>
      </w:pPr>
      <w:bookmarkStart w:id="0" w:name="_Hlk5726074"/>
      <w:proofErr w:type="spellStart"/>
      <w:r w:rsidRPr="00EA69C8">
        <w:rPr>
          <w:rFonts w:cstheme="minorHAnsi"/>
          <w:color w:val="000000"/>
          <w:shd w:val="clear" w:color="auto" w:fill="FFFFFF"/>
        </w:rPr>
        <w:t>Štrumbelj</w:t>
      </w:r>
      <w:proofErr w:type="spellEnd"/>
      <w:r w:rsidRPr="00EA69C8">
        <w:rPr>
          <w:rFonts w:cstheme="minorHAnsi"/>
          <w:color w:val="000000"/>
          <w:shd w:val="clear" w:color="auto" w:fill="FFFFFF"/>
        </w:rPr>
        <w:t xml:space="preserve">, E. and </w:t>
      </w:r>
      <w:proofErr w:type="spellStart"/>
      <w:r w:rsidRPr="00EA69C8">
        <w:rPr>
          <w:rFonts w:cstheme="minorHAnsi"/>
          <w:color w:val="000000"/>
          <w:shd w:val="clear" w:color="auto" w:fill="FFFFFF"/>
        </w:rPr>
        <w:t>Šikonja</w:t>
      </w:r>
      <w:proofErr w:type="spellEnd"/>
      <w:r w:rsidRPr="00EA69C8">
        <w:rPr>
          <w:rFonts w:cstheme="minorHAnsi"/>
          <w:color w:val="000000"/>
          <w:shd w:val="clear" w:color="auto" w:fill="FFFFFF"/>
        </w:rPr>
        <w:t>, M. (2010). Online bookmakers’ odds as forecasts: The case of European soccer leagues. </w:t>
      </w:r>
      <w:r w:rsidRPr="00EA69C8">
        <w:rPr>
          <w:rFonts w:cstheme="minorHAnsi"/>
          <w:i/>
          <w:iCs/>
          <w:color w:val="000000"/>
          <w:shd w:val="clear" w:color="auto" w:fill="FFFFFF"/>
        </w:rPr>
        <w:t>International Journal of Forecasting</w:t>
      </w:r>
      <w:r w:rsidRPr="00EA69C8">
        <w:rPr>
          <w:rFonts w:cstheme="minorHAnsi"/>
          <w:color w:val="000000"/>
          <w:shd w:val="clear" w:color="auto" w:fill="FFFFFF"/>
        </w:rPr>
        <w:t xml:space="preserve">, [online] 26(3), pp.482-488. Available at: </w:t>
      </w:r>
      <w:hyperlink r:id="rId18" w:history="1">
        <w:r w:rsidRPr="00EA69C8">
          <w:rPr>
            <w:rStyle w:val="Hyperlink"/>
            <w:rFonts w:cstheme="minorHAnsi"/>
            <w:shd w:val="clear" w:color="auto" w:fill="FFFFFF"/>
          </w:rPr>
          <w:t>https://www.researchgate.net/publication/46497620_Online_bookmakers'_odds_as_forecasts_The_case_of_European_soccer_leagues</w:t>
        </w:r>
      </w:hyperlink>
      <w:r w:rsidRPr="00EA69C8">
        <w:rPr>
          <w:rFonts w:cstheme="minorHAnsi"/>
          <w:color w:val="000000"/>
          <w:shd w:val="clear" w:color="auto" w:fill="FFFFFF"/>
        </w:rPr>
        <w:t xml:space="preserve">  [Accessed 16 Oct. 2018].</w:t>
      </w:r>
    </w:p>
    <w:bookmarkEnd w:id="0"/>
    <w:p w14:paraId="17B7242D" w14:textId="197A5BF4" w:rsidR="004170FE" w:rsidRDefault="004170FE" w:rsidP="00C86F20"/>
    <w:p w14:paraId="06795135" w14:textId="77777777" w:rsidR="007936F4" w:rsidRPr="00EA69C8" w:rsidRDefault="007936F4" w:rsidP="007936F4">
      <w:pPr>
        <w:rPr>
          <w:rFonts w:cstheme="minorHAnsi"/>
        </w:rPr>
      </w:pPr>
      <w:proofErr w:type="spellStart"/>
      <w:r w:rsidRPr="00EA69C8">
        <w:rPr>
          <w:rFonts w:cstheme="minorHAnsi"/>
        </w:rPr>
        <w:t>Hvattum</w:t>
      </w:r>
      <w:proofErr w:type="spellEnd"/>
      <w:r w:rsidRPr="00EA69C8">
        <w:rPr>
          <w:rFonts w:cstheme="minorHAnsi"/>
        </w:rPr>
        <w:t>, L. (201</w:t>
      </w:r>
      <w:r>
        <w:rPr>
          <w:rFonts w:cstheme="minorHAnsi"/>
        </w:rPr>
        <w:t>2</w:t>
      </w:r>
      <w:r w:rsidRPr="00EA69C8">
        <w:rPr>
          <w:rFonts w:cstheme="minorHAnsi"/>
        </w:rPr>
        <w:t xml:space="preserve">). </w:t>
      </w:r>
      <w:proofErr w:type="spellStart"/>
      <w:r w:rsidRPr="00EA69C8">
        <w:rPr>
          <w:rFonts w:cstheme="minorHAnsi"/>
        </w:rPr>
        <w:t>Analyzing</w:t>
      </w:r>
      <w:proofErr w:type="spellEnd"/>
      <w:r w:rsidRPr="00EA69C8">
        <w:rPr>
          <w:rFonts w:cstheme="minorHAnsi"/>
        </w:rPr>
        <w:t xml:space="preserve"> information efficiency in the betting market for association football league winners. Available at: </w:t>
      </w:r>
      <w:r w:rsidRPr="00D25A50">
        <w:rPr>
          <w:rStyle w:val="HTMLCite"/>
          <w:rFonts w:cstheme="minorHAnsi"/>
          <w:i w:val="0"/>
          <w:iCs w:val="0"/>
          <w:color w:val="006621"/>
          <w:u w:val="single"/>
          <w:shd w:val="clear" w:color="auto" w:fill="FFFFFF"/>
        </w:rPr>
        <w:t>http://www.enexto.com/FootballLeagueSimulator/Hvattum_2012.pdf</w:t>
      </w:r>
      <w:r w:rsidRPr="00EA69C8">
        <w:rPr>
          <w:rStyle w:val="HTMLCite"/>
          <w:rFonts w:cstheme="minorHAnsi"/>
          <w:color w:val="006621"/>
          <w:u w:val="single"/>
          <w:shd w:val="clear" w:color="auto" w:fill="FFFFFF"/>
        </w:rPr>
        <w:t xml:space="preserve"> </w:t>
      </w:r>
      <w:r w:rsidRPr="00EA69C8">
        <w:rPr>
          <w:rFonts w:cstheme="minorHAnsi"/>
          <w:shd w:val="clear" w:color="auto" w:fill="FFFFFF"/>
        </w:rPr>
        <w:t>[Accessed 10 Oct. 2018]</w:t>
      </w:r>
    </w:p>
    <w:p w14:paraId="06264D8A" w14:textId="77777777" w:rsidR="007936F4" w:rsidRPr="00C86F20" w:rsidRDefault="007936F4" w:rsidP="00C86F20">
      <w:bookmarkStart w:id="1" w:name="_GoBack"/>
      <w:bookmarkEnd w:id="1"/>
    </w:p>
    <w:sectPr w:rsidR="007936F4" w:rsidRPr="00C86F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EB7"/>
    <w:rsid w:val="000036AF"/>
    <w:rsid w:val="000865D7"/>
    <w:rsid w:val="000E67DB"/>
    <w:rsid w:val="000F6545"/>
    <w:rsid w:val="00102E63"/>
    <w:rsid w:val="001530F5"/>
    <w:rsid w:val="00192DD9"/>
    <w:rsid w:val="001A5EE2"/>
    <w:rsid w:val="001C22DD"/>
    <w:rsid w:val="00214583"/>
    <w:rsid w:val="00270A9E"/>
    <w:rsid w:val="00297D4B"/>
    <w:rsid w:val="003125FF"/>
    <w:rsid w:val="00323221"/>
    <w:rsid w:val="00335EC5"/>
    <w:rsid w:val="003527EB"/>
    <w:rsid w:val="003936F2"/>
    <w:rsid w:val="003A15A4"/>
    <w:rsid w:val="003E70C5"/>
    <w:rsid w:val="004170FE"/>
    <w:rsid w:val="0046062F"/>
    <w:rsid w:val="0049332E"/>
    <w:rsid w:val="00591C3F"/>
    <w:rsid w:val="00613902"/>
    <w:rsid w:val="00616263"/>
    <w:rsid w:val="0067200F"/>
    <w:rsid w:val="007444A9"/>
    <w:rsid w:val="007830F1"/>
    <w:rsid w:val="00792D2B"/>
    <w:rsid w:val="007936F4"/>
    <w:rsid w:val="00813D0E"/>
    <w:rsid w:val="00841B85"/>
    <w:rsid w:val="008D49BA"/>
    <w:rsid w:val="008F4FB8"/>
    <w:rsid w:val="009014E6"/>
    <w:rsid w:val="009068A6"/>
    <w:rsid w:val="00927110"/>
    <w:rsid w:val="00A512EB"/>
    <w:rsid w:val="00A568CE"/>
    <w:rsid w:val="00B00AF4"/>
    <w:rsid w:val="00B748A7"/>
    <w:rsid w:val="00BA29F4"/>
    <w:rsid w:val="00BE56BE"/>
    <w:rsid w:val="00C20EB7"/>
    <w:rsid w:val="00C86F20"/>
    <w:rsid w:val="00CD7E2C"/>
    <w:rsid w:val="00D250F9"/>
    <w:rsid w:val="00D251D0"/>
    <w:rsid w:val="00D3429E"/>
    <w:rsid w:val="00E41054"/>
    <w:rsid w:val="00E8098E"/>
    <w:rsid w:val="00E95208"/>
    <w:rsid w:val="00EC7E11"/>
    <w:rsid w:val="00ED40B2"/>
    <w:rsid w:val="00EE5747"/>
    <w:rsid w:val="00F04A91"/>
    <w:rsid w:val="00FA14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8C164"/>
  <w15:chartTrackingRefBased/>
  <w15:docId w15:val="{46F80B5D-AC2F-4EF6-AFBC-42EF2D4C3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0E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20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EB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809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E8098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9068A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1C22DD"/>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4606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062F"/>
    <w:rPr>
      <w:rFonts w:ascii="Segoe UI" w:hAnsi="Segoe UI" w:cs="Segoe UI"/>
      <w:sz w:val="18"/>
      <w:szCs w:val="18"/>
    </w:rPr>
  </w:style>
  <w:style w:type="character" w:customStyle="1" w:styleId="Heading2Char">
    <w:name w:val="Heading 2 Char"/>
    <w:basedOn w:val="DefaultParagraphFont"/>
    <w:link w:val="Heading2"/>
    <w:uiPriority w:val="9"/>
    <w:rsid w:val="0067200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C86F20"/>
    <w:rPr>
      <w:color w:val="0000FF"/>
      <w:u w:val="single"/>
    </w:rPr>
  </w:style>
  <w:style w:type="character" w:styleId="HTMLCite">
    <w:name w:val="HTML Cite"/>
    <w:basedOn w:val="DefaultParagraphFont"/>
    <w:uiPriority w:val="99"/>
    <w:semiHidden/>
    <w:unhideWhenUsed/>
    <w:rsid w:val="007936F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hyperlink" Target="https://www.skysports.com/serie-a-table" TargetMode="External"/><Relationship Id="rId18" Type="http://schemas.openxmlformats.org/officeDocument/2006/relationships/hyperlink" Target="https://www.researchgate.net/publication/46497620_Online_bookmakers'_odds_as_forecasts_The_case_of_European_soccer_leagues" TargetMode="Externa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chart" Target="charts/chart7.xml"/><Relationship Id="rId17" Type="http://schemas.openxmlformats.org/officeDocument/2006/relationships/hyperlink" Target="http://constantinou.info/downloads/papers/evidenceofinefficiency.pdf" TargetMode="External"/><Relationship Id="rId2" Type="http://schemas.openxmlformats.org/officeDocument/2006/relationships/settings" Target="settings.xml"/><Relationship Id="rId16" Type="http://schemas.openxmlformats.org/officeDocument/2006/relationships/hyperlink" Target="https://www.transfermarkt.com/primera-division/tabelle/wettbewerb/ES1/saison_id/2018"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chart" Target="charts/chart6.xml"/><Relationship Id="rId5" Type="http://schemas.openxmlformats.org/officeDocument/2006/relationships/image" Target="media/image1.png"/><Relationship Id="rId15" Type="http://schemas.openxmlformats.org/officeDocument/2006/relationships/hyperlink" Target="https://www.ligue1.com/ligue1/classement?sai=70&amp;journee1=1&amp;journee2=34&amp;cat=Gen" TargetMode="External"/><Relationship Id="rId10" Type="http://schemas.openxmlformats.org/officeDocument/2006/relationships/chart" Target="charts/chart5.xml"/><Relationship Id="rId19" Type="http://schemas.openxmlformats.org/officeDocument/2006/relationships/fontTable" Target="fontTable.xml"/><Relationship Id="rId4" Type="http://schemas.openxmlformats.org/officeDocument/2006/relationships/chart" Target="charts/chart1.xml"/><Relationship Id="rId9" Type="http://schemas.openxmlformats.org/officeDocument/2006/relationships/chart" Target="charts/chart4.xml"/><Relationship Id="rId14" Type="http://schemas.openxmlformats.org/officeDocument/2006/relationships/hyperlink" Target="https://www.premierleague.com/tables"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esktop\Overall%20Results%20w.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er\Documents\Thesis\thesis\Data\Overall%20Resul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Sheet1!$A$2</c:f>
              <c:strCache>
                <c:ptCount val="1"/>
                <c:pt idx="0">
                  <c:v>BetComp1</c:v>
                </c:pt>
              </c:strCache>
            </c:strRef>
          </c:tx>
          <c:spPr>
            <a:solidFill>
              <a:schemeClr val="accent1"/>
            </a:solidFill>
            <a:ln>
              <a:noFill/>
            </a:ln>
            <a:effectLst/>
          </c:spPr>
          <c:invertIfNegative val="0"/>
          <c:cat>
            <c:strRef>
              <c:f>Sheet1!$B$1:$S$1</c:f>
              <c:strCache>
                <c:ptCount val="18"/>
                <c:pt idx="0">
                  <c:v>2000-2001</c:v>
                </c:pt>
                <c:pt idx="1">
                  <c:v>2001-2002</c:v>
                </c:pt>
                <c:pt idx="2">
                  <c:v>2002-2003</c:v>
                </c:pt>
                <c:pt idx="3">
                  <c:v>2003-2004</c:v>
                </c:pt>
                <c:pt idx="4">
                  <c:v>2004-2005</c:v>
                </c:pt>
                <c:pt idx="5">
                  <c:v>2005-2006</c:v>
                </c:pt>
                <c:pt idx="6">
                  <c:v>2006-2007</c:v>
                </c:pt>
                <c:pt idx="7">
                  <c:v>2007-2008</c:v>
                </c:pt>
                <c:pt idx="8">
                  <c:v>2008-2009</c:v>
                </c:pt>
                <c:pt idx="9">
                  <c:v>2009-2010</c:v>
                </c:pt>
                <c:pt idx="10">
                  <c:v>2010-2011</c:v>
                </c:pt>
                <c:pt idx="11">
                  <c:v>2011-2012</c:v>
                </c:pt>
                <c:pt idx="12">
                  <c:v>2012-2013</c:v>
                </c:pt>
                <c:pt idx="13">
                  <c:v>2013-2014</c:v>
                </c:pt>
                <c:pt idx="14">
                  <c:v>2014-2015</c:v>
                </c:pt>
                <c:pt idx="15">
                  <c:v>2015-2016</c:v>
                </c:pt>
                <c:pt idx="16">
                  <c:v>2016-2017</c:v>
                </c:pt>
                <c:pt idx="17">
                  <c:v>2017-2018</c:v>
                </c:pt>
              </c:strCache>
            </c:strRef>
          </c:cat>
          <c:val>
            <c:numRef>
              <c:f>Sheet1!$B$2:$S$2</c:f>
              <c:numCache>
                <c:formatCode>General</c:formatCode>
                <c:ptCount val="18"/>
                <c:pt idx="2" formatCode="0.00%">
                  <c:v>0.47899999999999998</c:v>
                </c:pt>
                <c:pt idx="3" formatCode="0%">
                  <c:v>0.49</c:v>
                </c:pt>
                <c:pt idx="4" formatCode="0.00%">
                  <c:v>0.49299999999999999</c:v>
                </c:pt>
                <c:pt idx="5" formatCode="0.00%">
                  <c:v>0.47699999999999998</c:v>
                </c:pt>
                <c:pt idx="6" formatCode="0.00%">
                  <c:v>0.44400000000000001</c:v>
                </c:pt>
                <c:pt idx="7" formatCode="0.00%">
                  <c:v>0.48799999999999999</c:v>
                </c:pt>
                <c:pt idx="8" formatCode="0.00%">
                  <c:v>0.51800000000000002</c:v>
                </c:pt>
                <c:pt idx="9" formatCode="0.00%">
                  <c:v>0.53600000000000003</c:v>
                </c:pt>
                <c:pt idx="10" formatCode="0.00%">
                  <c:v>0.48599999999999999</c:v>
                </c:pt>
                <c:pt idx="11" formatCode="0.00%">
                  <c:v>0.47600000000000003</c:v>
                </c:pt>
                <c:pt idx="12" formatCode="0.00%">
                  <c:v>0.498</c:v>
                </c:pt>
                <c:pt idx="13" formatCode="0.00%">
                  <c:v>0.55399999999999994</c:v>
                </c:pt>
                <c:pt idx="14" formatCode="0.00%">
                  <c:v>0.49200000000000005</c:v>
                </c:pt>
                <c:pt idx="15" formatCode="0.00%">
                  <c:v>0.47200000000000003</c:v>
                </c:pt>
                <c:pt idx="16" formatCode="0.00%">
                  <c:v>0.53</c:v>
                </c:pt>
                <c:pt idx="17" formatCode="0.00%">
                  <c:v>0.496</c:v>
                </c:pt>
              </c:numCache>
            </c:numRef>
          </c:val>
          <c:extLst>
            <c:ext xmlns:c16="http://schemas.microsoft.com/office/drawing/2014/chart" uri="{C3380CC4-5D6E-409C-BE32-E72D297353CC}">
              <c16:uniqueId val="{00000000-C7B3-42F4-AC06-42B387A724E4}"/>
            </c:ext>
          </c:extLst>
        </c:ser>
        <c:ser>
          <c:idx val="1"/>
          <c:order val="1"/>
          <c:tx>
            <c:strRef>
              <c:f>Sheet1!$A$3</c:f>
              <c:strCache>
                <c:ptCount val="1"/>
                <c:pt idx="0">
                  <c:v>BetComp2</c:v>
                </c:pt>
              </c:strCache>
            </c:strRef>
          </c:tx>
          <c:spPr>
            <a:solidFill>
              <a:schemeClr val="accent2"/>
            </a:solidFill>
            <a:ln>
              <a:noFill/>
            </a:ln>
            <a:effectLst/>
          </c:spPr>
          <c:invertIfNegative val="0"/>
          <c:cat>
            <c:strRef>
              <c:f>Sheet1!$B$1:$S$1</c:f>
              <c:strCache>
                <c:ptCount val="18"/>
                <c:pt idx="0">
                  <c:v>2000-2001</c:v>
                </c:pt>
                <c:pt idx="1">
                  <c:v>2001-2002</c:v>
                </c:pt>
                <c:pt idx="2">
                  <c:v>2002-2003</c:v>
                </c:pt>
                <c:pt idx="3">
                  <c:v>2003-2004</c:v>
                </c:pt>
                <c:pt idx="4">
                  <c:v>2004-2005</c:v>
                </c:pt>
                <c:pt idx="5">
                  <c:v>2005-2006</c:v>
                </c:pt>
                <c:pt idx="6">
                  <c:v>2006-2007</c:v>
                </c:pt>
                <c:pt idx="7">
                  <c:v>2007-2008</c:v>
                </c:pt>
                <c:pt idx="8">
                  <c:v>2008-2009</c:v>
                </c:pt>
                <c:pt idx="9">
                  <c:v>2009-2010</c:v>
                </c:pt>
                <c:pt idx="10">
                  <c:v>2010-2011</c:v>
                </c:pt>
                <c:pt idx="11">
                  <c:v>2011-2012</c:v>
                </c:pt>
                <c:pt idx="12">
                  <c:v>2012-2013</c:v>
                </c:pt>
                <c:pt idx="13">
                  <c:v>2013-2014</c:v>
                </c:pt>
                <c:pt idx="14">
                  <c:v>2014-2015</c:v>
                </c:pt>
                <c:pt idx="15">
                  <c:v>2015-2016</c:v>
                </c:pt>
                <c:pt idx="16">
                  <c:v>2016-2017</c:v>
                </c:pt>
                <c:pt idx="17">
                  <c:v>2017-2018</c:v>
                </c:pt>
              </c:strCache>
            </c:strRef>
          </c:cat>
          <c:val>
            <c:numRef>
              <c:f>Sheet1!$B$3:$S$3</c:f>
              <c:numCache>
                <c:formatCode>General</c:formatCode>
                <c:ptCount val="18"/>
                <c:pt idx="4" formatCode="0.00%">
                  <c:v>0.502</c:v>
                </c:pt>
                <c:pt idx="5" formatCode="0.00%">
                  <c:v>0.44600000000000001</c:v>
                </c:pt>
                <c:pt idx="6" formatCode="0.00%">
                  <c:v>0.46300000000000002</c:v>
                </c:pt>
                <c:pt idx="7" formatCode="0.00%">
                  <c:v>0.47200000000000003</c:v>
                </c:pt>
                <c:pt idx="8" formatCode="0.00%">
                  <c:v>0.52200000000000002</c:v>
                </c:pt>
                <c:pt idx="9" formatCode="0.00%">
                  <c:v>0.51800000000000002</c:v>
                </c:pt>
                <c:pt idx="10" formatCode="0.00%">
                  <c:v>0.50800000000000001</c:v>
                </c:pt>
                <c:pt idx="11" formatCode="0.00%">
                  <c:v>0.45600000000000002</c:v>
                </c:pt>
                <c:pt idx="12" formatCode="0.00%">
                  <c:v>0.51100000000000001</c:v>
                </c:pt>
                <c:pt idx="13" formatCode="0.00%">
                  <c:v>0.55700000000000005</c:v>
                </c:pt>
                <c:pt idx="14" formatCode="0.00%">
                  <c:v>0.51400000000000001</c:v>
                </c:pt>
                <c:pt idx="15" formatCode="0.00%">
                  <c:v>0.496</c:v>
                </c:pt>
                <c:pt idx="16" formatCode="0.00%">
                  <c:v>0.54799999999999993</c:v>
                </c:pt>
                <c:pt idx="17" formatCode="0.00%">
                  <c:v>0.52300000000000002</c:v>
                </c:pt>
              </c:numCache>
            </c:numRef>
          </c:val>
          <c:extLst>
            <c:ext xmlns:c16="http://schemas.microsoft.com/office/drawing/2014/chart" uri="{C3380CC4-5D6E-409C-BE32-E72D297353CC}">
              <c16:uniqueId val="{00000001-C7B3-42F4-AC06-42B387A724E4}"/>
            </c:ext>
          </c:extLst>
        </c:ser>
        <c:ser>
          <c:idx val="2"/>
          <c:order val="2"/>
          <c:tx>
            <c:strRef>
              <c:f>Sheet1!$A$4</c:f>
              <c:strCache>
                <c:ptCount val="1"/>
                <c:pt idx="0">
                  <c:v>BetComp3</c:v>
                </c:pt>
              </c:strCache>
            </c:strRef>
          </c:tx>
          <c:spPr>
            <a:solidFill>
              <a:schemeClr val="accent3"/>
            </a:solidFill>
            <a:ln>
              <a:noFill/>
            </a:ln>
            <a:effectLst/>
          </c:spPr>
          <c:invertIfNegative val="0"/>
          <c:cat>
            <c:strRef>
              <c:f>Sheet1!$B$1:$S$1</c:f>
              <c:strCache>
                <c:ptCount val="18"/>
                <c:pt idx="0">
                  <c:v>2000-2001</c:v>
                </c:pt>
                <c:pt idx="1">
                  <c:v>2001-2002</c:v>
                </c:pt>
                <c:pt idx="2">
                  <c:v>2002-2003</c:v>
                </c:pt>
                <c:pt idx="3">
                  <c:v>2003-2004</c:v>
                </c:pt>
                <c:pt idx="4">
                  <c:v>2004-2005</c:v>
                </c:pt>
                <c:pt idx="5">
                  <c:v>2005-2006</c:v>
                </c:pt>
                <c:pt idx="6">
                  <c:v>2006-2007</c:v>
                </c:pt>
                <c:pt idx="7">
                  <c:v>2007-2008</c:v>
                </c:pt>
                <c:pt idx="8">
                  <c:v>2008-2009</c:v>
                </c:pt>
                <c:pt idx="9">
                  <c:v>2009-2010</c:v>
                </c:pt>
                <c:pt idx="10">
                  <c:v>2010-2011</c:v>
                </c:pt>
                <c:pt idx="11">
                  <c:v>2011-2012</c:v>
                </c:pt>
                <c:pt idx="12">
                  <c:v>2012-2013</c:v>
                </c:pt>
                <c:pt idx="13">
                  <c:v>2013-2014</c:v>
                </c:pt>
                <c:pt idx="14">
                  <c:v>2014-2015</c:v>
                </c:pt>
                <c:pt idx="15">
                  <c:v>2015-2016</c:v>
                </c:pt>
                <c:pt idx="16">
                  <c:v>2016-2017</c:v>
                </c:pt>
                <c:pt idx="17">
                  <c:v>2017-2018</c:v>
                </c:pt>
              </c:strCache>
            </c:strRef>
          </c:cat>
          <c:val>
            <c:numRef>
              <c:f>Sheet1!$B$4:$S$4</c:f>
              <c:numCache>
                <c:formatCode>0.00%</c:formatCode>
                <c:ptCount val="18"/>
                <c:pt idx="0">
                  <c:v>0.505</c:v>
                </c:pt>
                <c:pt idx="1">
                  <c:v>0.44900000000000001</c:v>
                </c:pt>
                <c:pt idx="2">
                  <c:v>0.497</c:v>
                </c:pt>
                <c:pt idx="3">
                  <c:v>0.49199999999999999</c:v>
                </c:pt>
                <c:pt idx="4">
                  <c:v>0.496</c:v>
                </c:pt>
                <c:pt idx="5">
                  <c:v>0.46700000000000003</c:v>
                </c:pt>
                <c:pt idx="6" formatCode="0%">
                  <c:v>0.44</c:v>
                </c:pt>
                <c:pt idx="7">
                  <c:v>0.45500000000000002</c:v>
                </c:pt>
                <c:pt idx="8">
                  <c:v>0.503</c:v>
                </c:pt>
                <c:pt idx="9">
                  <c:v>0.53299999999999992</c:v>
                </c:pt>
                <c:pt idx="10">
                  <c:v>0.45399999999999996</c:v>
                </c:pt>
                <c:pt idx="11">
                  <c:v>0.49099999999999999</c:v>
                </c:pt>
                <c:pt idx="12">
                  <c:v>0.51100000000000001</c:v>
                </c:pt>
              </c:numCache>
            </c:numRef>
          </c:val>
          <c:extLst>
            <c:ext xmlns:c16="http://schemas.microsoft.com/office/drawing/2014/chart" uri="{C3380CC4-5D6E-409C-BE32-E72D297353CC}">
              <c16:uniqueId val="{00000002-C7B3-42F4-AC06-42B387A724E4}"/>
            </c:ext>
          </c:extLst>
        </c:ser>
        <c:ser>
          <c:idx val="3"/>
          <c:order val="3"/>
          <c:tx>
            <c:strRef>
              <c:f>Sheet1!$A$5</c:f>
              <c:strCache>
                <c:ptCount val="1"/>
                <c:pt idx="0">
                  <c:v>BetComp4</c:v>
                </c:pt>
              </c:strCache>
            </c:strRef>
          </c:tx>
          <c:spPr>
            <a:solidFill>
              <a:schemeClr val="accent4"/>
            </a:solidFill>
            <a:ln>
              <a:noFill/>
            </a:ln>
            <a:effectLst/>
          </c:spPr>
          <c:invertIfNegative val="0"/>
          <c:cat>
            <c:strRef>
              <c:f>Sheet1!$B$1:$S$1</c:f>
              <c:strCache>
                <c:ptCount val="18"/>
                <c:pt idx="0">
                  <c:v>2000-2001</c:v>
                </c:pt>
                <c:pt idx="1">
                  <c:v>2001-2002</c:v>
                </c:pt>
                <c:pt idx="2">
                  <c:v>2002-2003</c:v>
                </c:pt>
                <c:pt idx="3">
                  <c:v>2003-2004</c:v>
                </c:pt>
                <c:pt idx="4">
                  <c:v>2004-2005</c:v>
                </c:pt>
                <c:pt idx="5">
                  <c:v>2005-2006</c:v>
                </c:pt>
                <c:pt idx="6">
                  <c:v>2006-2007</c:v>
                </c:pt>
                <c:pt idx="7">
                  <c:v>2007-2008</c:v>
                </c:pt>
                <c:pt idx="8">
                  <c:v>2008-2009</c:v>
                </c:pt>
                <c:pt idx="9">
                  <c:v>2009-2010</c:v>
                </c:pt>
                <c:pt idx="10">
                  <c:v>2010-2011</c:v>
                </c:pt>
                <c:pt idx="11">
                  <c:v>2011-2012</c:v>
                </c:pt>
                <c:pt idx="12">
                  <c:v>2012-2013</c:v>
                </c:pt>
                <c:pt idx="13">
                  <c:v>2013-2014</c:v>
                </c:pt>
                <c:pt idx="14">
                  <c:v>2014-2015</c:v>
                </c:pt>
                <c:pt idx="15">
                  <c:v>2015-2016</c:v>
                </c:pt>
                <c:pt idx="16">
                  <c:v>2016-2017</c:v>
                </c:pt>
                <c:pt idx="17">
                  <c:v>2017-2018</c:v>
                </c:pt>
              </c:strCache>
            </c:strRef>
          </c:cat>
          <c:val>
            <c:numRef>
              <c:f>Sheet1!$B$5:$S$5</c:f>
              <c:numCache>
                <c:formatCode>0.00%</c:formatCode>
                <c:ptCount val="18"/>
                <c:pt idx="0">
                  <c:v>0.501</c:v>
                </c:pt>
                <c:pt idx="1">
                  <c:v>0.47899999999999998</c:v>
                </c:pt>
                <c:pt idx="2">
                  <c:v>0.50800000000000001</c:v>
                </c:pt>
                <c:pt idx="3">
                  <c:v>0.496</c:v>
                </c:pt>
                <c:pt idx="4">
                  <c:v>0.48799999999999999</c:v>
                </c:pt>
                <c:pt idx="5">
                  <c:v>0.46700000000000003</c:v>
                </c:pt>
                <c:pt idx="6">
                  <c:v>0.46899999999999997</c:v>
                </c:pt>
                <c:pt idx="7">
                  <c:v>0.45500000000000002</c:v>
                </c:pt>
                <c:pt idx="8">
                  <c:v>0.49299999999999999</c:v>
                </c:pt>
                <c:pt idx="9">
                  <c:v>0.54200000000000004</c:v>
                </c:pt>
                <c:pt idx="10">
                  <c:v>0.48899999999999999</c:v>
                </c:pt>
                <c:pt idx="11">
                  <c:v>0.48200000000000004</c:v>
                </c:pt>
                <c:pt idx="12">
                  <c:v>0.52</c:v>
                </c:pt>
                <c:pt idx="13">
                  <c:v>0.53700000000000003</c:v>
                </c:pt>
                <c:pt idx="14">
                  <c:v>0.53200000000000003</c:v>
                </c:pt>
                <c:pt idx="15">
                  <c:v>0.495</c:v>
                </c:pt>
                <c:pt idx="16">
                  <c:v>0.55799999999999994</c:v>
                </c:pt>
                <c:pt idx="17">
                  <c:v>0.52900000000000003</c:v>
                </c:pt>
              </c:numCache>
            </c:numRef>
          </c:val>
          <c:extLst>
            <c:ext xmlns:c16="http://schemas.microsoft.com/office/drawing/2014/chart" uri="{C3380CC4-5D6E-409C-BE32-E72D297353CC}">
              <c16:uniqueId val="{00000003-C7B3-42F4-AC06-42B387A724E4}"/>
            </c:ext>
          </c:extLst>
        </c:ser>
        <c:ser>
          <c:idx val="4"/>
          <c:order val="4"/>
          <c:tx>
            <c:strRef>
              <c:f>Sheet1!$A$6</c:f>
              <c:strCache>
                <c:ptCount val="1"/>
                <c:pt idx="0">
                  <c:v>BetComp5</c:v>
                </c:pt>
              </c:strCache>
            </c:strRef>
          </c:tx>
          <c:spPr>
            <a:solidFill>
              <a:schemeClr val="accent5"/>
            </a:solidFill>
            <a:ln>
              <a:noFill/>
            </a:ln>
            <a:effectLst/>
          </c:spPr>
          <c:invertIfNegative val="0"/>
          <c:cat>
            <c:strRef>
              <c:f>Sheet1!$B$1:$S$1</c:f>
              <c:strCache>
                <c:ptCount val="18"/>
                <c:pt idx="0">
                  <c:v>2000-2001</c:v>
                </c:pt>
                <c:pt idx="1">
                  <c:v>2001-2002</c:v>
                </c:pt>
                <c:pt idx="2">
                  <c:v>2002-2003</c:v>
                </c:pt>
                <c:pt idx="3">
                  <c:v>2003-2004</c:v>
                </c:pt>
                <c:pt idx="4">
                  <c:v>2004-2005</c:v>
                </c:pt>
                <c:pt idx="5">
                  <c:v>2005-2006</c:v>
                </c:pt>
                <c:pt idx="6">
                  <c:v>2006-2007</c:v>
                </c:pt>
                <c:pt idx="7">
                  <c:v>2007-2008</c:v>
                </c:pt>
                <c:pt idx="8">
                  <c:v>2008-2009</c:v>
                </c:pt>
                <c:pt idx="9">
                  <c:v>2009-2010</c:v>
                </c:pt>
                <c:pt idx="10">
                  <c:v>2010-2011</c:v>
                </c:pt>
                <c:pt idx="11">
                  <c:v>2011-2012</c:v>
                </c:pt>
                <c:pt idx="12">
                  <c:v>2012-2013</c:v>
                </c:pt>
                <c:pt idx="13">
                  <c:v>2013-2014</c:v>
                </c:pt>
                <c:pt idx="14">
                  <c:v>2014-2015</c:v>
                </c:pt>
                <c:pt idx="15">
                  <c:v>2015-2016</c:v>
                </c:pt>
                <c:pt idx="16">
                  <c:v>2016-2017</c:v>
                </c:pt>
                <c:pt idx="17">
                  <c:v>2017-2018</c:v>
                </c:pt>
              </c:strCache>
            </c:strRef>
          </c:cat>
          <c:val>
            <c:numRef>
              <c:f>Sheet1!$B$6:$S$6</c:f>
              <c:numCache>
                <c:formatCode>0.00%</c:formatCode>
                <c:ptCount val="18"/>
                <c:pt idx="0">
                  <c:v>0.50700000000000001</c:v>
                </c:pt>
                <c:pt idx="1">
                  <c:v>0.45200000000000001</c:v>
                </c:pt>
                <c:pt idx="2">
                  <c:v>0.49</c:v>
                </c:pt>
                <c:pt idx="3">
                  <c:v>0.51400000000000001</c:v>
                </c:pt>
                <c:pt idx="4">
                  <c:v>0.505</c:v>
                </c:pt>
                <c:pt idx="5">
                  <c:v>0.47</c:v>
                </c:pt>
                <c:pt idx="6">
                  <c:v>0.48799999999999999</c:v>
                </c:pt>
                <c:pt idx="7">
                  <c:v>0.46399999999999997</c:v>
                </c:pt>
                <c:pt idx="8">
                  <c:v>0.54200000000000004</c:v>
                </c:pt>
                <c:pt idx="9">
                  <c:v>0.502</c:v>
                </c:pt>
                <c:pt idx="10">
                  <c:v>0.45399999999999996</c:v>
                </c:pt>
                <c:pt idx="11">
                  <c:v>0.47899999999999998</c:v>
                </c:pt>
                <c:pt idx="12">
                  <c:v>0.46700000000000003</c:v>
                </c:pt>
                <c:pt idx="13">
                  <c:v>0.53</c:v>
                </c:pt>
                <c:pt idx="14">
                  <c:v>0.48399999999999999</c:v>
                </c:pt>
                <c:pt idx="15">
                  <c:v>0.48100000000000004</c:v>
                </c:pt>
                <c:pt idx="16">
                  <c:v>0.53900000000000003</c:v>
                </c:pt>
                <c:pt idx="17">
                  <c:v>0.52300000000000002</c:v>
                </c:pt>
              </c:numCache>
            </c:numRef>
          </c:val>
          <c:extLst>
            <c:ext xmlns:c16="http://schemas.microsoft.com/office/drawing/2014/chart" uri="{C3380CC4-5D6E-409C-BE32-E72D297353CC}">
              <c16:uniqueId val="{00000004-C7B3-42F4-AC06-42B387A724E4}"/>
            </c:ext>
          </c:extLst>
        </c:ser>
        <c:ser>
          <c:idx val="5"/>
          <c:order val="5"/>
          <c:tx>
            <c:strRef>
              <c:f>Sheet1!$A$7</c:f>
              <c:strCache>
                <c:ptCount val="1"/>
                <c:pt idx="0">
                  <c:v>BetComp6</c:v>
                </c:pt>
              </c:strCache>
            </c:strRef>
          </c:tx>
          <c:spPr>
            <a:solidFill>
              <a:schemeClr val="accent6"/>
            </a:solidFill>
            <a:ln>
              <a:noFill/>
            </a:ln>
            <a:effectLst/>
          </c:spPr>
          <c:invertIfNegative val="0"/>
          <c:cat>
            <c:strRef>
              <c:f>Sheet1!$B$1:$S$1</c:f>
              <c:strCache>
                <c:ptCount val="18"/>
                <c:pt idx="0">
                  <c:v>2000-2001</c:v>
                </c:pt>
                <c:pt idx="1">
                  <c:v>2001-2002</c:v>
                </c:pt>
                <c:pt idx="2">
                  <c:v>2002-2003</c:v>
                </c:pt>
                <c:pt idx="3">
                  <c:v>2003-2004</c:v>
                </c:pt>
                <c:pt idx="4">
                  <c:v>2004-2005</c:v>
                </c:pt>
                <c:pt idx="5">
                  <c:v>2005-2006</c:v>
                </c:pt>
                <c:pt idx="6">
                  <c:v>2006-2007</c:v>
                </c:pt>
                <c:pt idx="7">
                  <c:v>2007-2008</c:v>
                </c:pt>
                <c:pt idx="8">
                  <c:v>2008-2009</c:v>
                </c:pt>
                <c:pt idx="9">
                  <c:v>2009-2010</c:v>
                </c:pt>
                <c:pt idx="10">
                  <c:v>2010-2011</c:v>
                </c:pt>
                <c:pt idx="11">
                  <c:v>2011-2012</c:v>
                </c:pt>
                <c:pt idx="12">
                  <c:v>2012-2013</c:v>
                </c:pt>
                <c:pt idx="13">
                  <c:v>2013-2014</c:v>
                </c:pt>
                <c:pt idx="14">
                  <c:v>2014-2015</c:v>
                </c:pt>
                <c:pt idx="15">
                  <c:v>2015-2016</c:v>
                </c:pt>
                <c:pt idx="16">
                  <c:v>2016-2017</c:v>
                </c:pt>
                <c:pt idx="17">
                  <c:v>2017-2018</c:v>
                </c:pt>
              </c:strCache>
            </c:strRef>
          </c:cat>
          <c:val>
            <c:numRef>
              <c:f>Sheet1!$B$7:$S$7</c:f>
              <c:numCache>
                <c:formatCode>0.00%</c:formatCode>
                <c:ptCount val="18"/>
                <c:pt idx="0">
                  <c:v>0.48599999999999999</c:v>
                </c:pt>
                <c:pt idx="1">
                  <c:v>0.442</c:v>
                </c:pt>
                <c:pt idx="2">
                  <c:v>0.48799999999999999</c:v>
                </c:pt>
                <c:pt idx="3">
                  <c:v>0.44700000000000001</c:v>
                </c:pt>
                <c:pt idx="4">
                  <c:v>0.48799999999999999</c:v>
                </c:pt>
                <c:pt idx="5">
                  <c:v>0.49399999999999999</c:v>
                </c:pt>
                <c:pt idx="6">
                  <c:v>0.48199999999999998</c:v>
                </c:pt>
                <c:pt idx="7">
                  <c:v>0.42799999999999999</c:v>
                </c:pt>
                <c:pt idx="8">
                  <c:v>0.49099999999999999</c:v>
                </c:pt>
                <c:pt idx="9">
                  <c:v>0.53900000000000003</c:v>
                </c:pt>
                <c:pt idx="10">
                  <c:v>0.48</c:v>
                </c:pt>
                <c:pt idx="11">
                  <c:v>0.49399999999999999</c:v>
                </c:pt>
              </c:numCache>
            </c:numRef>
          </c:val>
          <c:extLst>
            <c:ext xmlns:c16="http://schemas.microsoft.com/office/drawing/2014/chart" uri="{C3380CC4-5D6E-409C-BE32-E72D297353CC}">
              <c16:uniqueId val="{00000005-C7B3-42F4-AC06-42B387A724E4}"/>
            </c:ext>
          </c:extLst>
        </c:ser>
        <c:ser>
          <c:idx val="6"/>
          <c:order val="6"/>
          <c:tx>
            <c:strRef>
              <c:f>Sheet1!$A$8</c:f>
              <c:strCache>
                <c:ptCount val="1"/>
                <c:pt idx="0">
                  <c:v>BetComp7</c:v>
                </c:pt>
              </c:strCache>
            </c:strRef>
          </c:tx>
          <c:spPr>
            <a:solidFill>
              <a:schemeClr val="accent1">
                <a:lumMod val="60000"/>
              </a:schemeClr>
            </a:solidFill>
            <a:ln>
              <a:noFill/>
            </a:ln>
            <a:effectLst/>
          </c:spPr>
          <c:invertIfNegative val="0"/>
          <c:cat>
            <c:strRef>
              <c:f>Sheet1!$B$1:$S$1</c:f>
              <c:strCache>
                <c:ptCount val="18"/>
                <c:pt idx="0">
                  <c:v>2000-2001</c:v>
                </c:pt>
                <c:pt idx="1">
                  <c:v>2001-2002</c:v>
                </c:pt>
                <c:pt idx="2">
                  <c:v>2002-2003</c:v>
                </c:pt>
                <c:pt idx="3">
                  <c:v>2003-2004</c:v>
                </c:pt>
                <c:pt idx="4">
                  <c:v>2004-2005</c:v>
                </c:pt>
                <c:pt idx="5">
                  <c:v>2005-2006</c:v>
                </c:pt>
                <c:pt idx="6">
                  <c:v>2006-2007</c:v>
                </c:pt>
                <c:pt idx="7">
                  <c:v>2007-2008</c:v>
                </c:pt>
                <c:pt idx="8">
                  <c:v>2008-2009</c:v>
                </c:pt>
                <c:pt idx="9">
                  <c:v>2009-2010</c:v>
                </c:pt>
                <c:pt idx="10">
                  <c:v>2010-2011</c:v>
                </c:pt>
                <c:pt idx="11">
                  <c:v>2011-2012</c:v>
                </c:pt>
                <c:pt idx="12">
                  <c:v>2012-2013</c:v>
                </c:pt>
                <c:pt idx="13">
                  <c:v>2013-2014</c:v>
                </c:pt>
                <c:pt idx="14">
                  <c:v>2014-2015</c:v>
                </c:pt>
                <c:pt idx="15">
                  <c:v>2015-2016</c:v>
                </c:pt>
                <c:pt idx="16">
                  <c:v>2016-2017</c:v>
                </c:pt>
                <c:pt idx="17">
                  <c:v>2017-2018</c:v>
                </c:pt>
              </c:strCache>
            </c:strRef>
          </c:cat>
          <c:val>
            <c:numRef>
              <c:f>Sheet1!$B$8:$S$8</c:f>
              <c:numCache>
                <c:formatCode>General</c:formatCode>
                <c:ptCount val="18"/>
                <c:pt idx="12" formatCode="0.00%">
                  <c:v>0.52700000000000002</c:v>
                </c:pt>
                <c:pt idx="13" formatCode="0.00%">
                  <c:v>0.53900000000000003</c:v>
                </c:pt>
                <c:pt idx="14" formatCode="0.00%">
                  <c:v>0.52100000000000002</c:v>
                </c:pt>
                <c:pt idx="15" formatCode="0.00%">
                  <c:v>0.501</c:v>
                </c:pt>
                <c:pt idx="16" formatCode="0.00%">
                  <c:v>0.52600000000000002</c:v>
                </c:pt>
                <c:pt idx="17" formatCode="0.00%">
                  <c:v>0.52400000000000002</c:v>
                </c:pt>
              </c:numCache>
            </c:numRef>
          </c:val>
          <c:extLst>
            <c:ext xmlns:c16="http://schemas.microsoft.com/office/drawing/2014/chart" uri="{C3380CC4-5D6E-409C-BE32-E72D297353CC}">
              <c16:uniqueId val="{00000006-C7B3-42F4-AC06-42B387A724E4}"/>
            </c:ext>
          </c:extLst>
        </c:ser>
        <c:ser>
          <c:idx val="7"/>
          <c:order val="7"/>
          <c:tx>
            <c:strRef>
              <c:f>Sheet1!$A$9</c:f>
              <c:strCache>
                <c:ptCount val="1"/>
                <c:pt idx="0">
                  <c:v>BetComp8</c:v>
                </c:pt>
              </c:strCache>
            </c:strRef>
          </c:tx>
          <c:spPr>
            <a:solidFill>
              <a:schemeClr val="accent2">
                <a:lumMod val="60000"/>
              </a:schemeClr>
            </a:solidFill>
            <a:ln>
              <a:noFill/>
            </a:ln>
            <a:effectLst/>
          </c:spPr>
          <c:invertIfNegative val="0"/>
          <c:cat>
            <c:strRef>
              <c:f>Sheet1!$B$1:$S$1</c:f>
              <c:strCache>
                <c:ptCount val="18"/>
                <c:pt idx="0">
                  <c:v>2000-2001</c:v>
                </c:pt>
                <c:pt idx="1">
                  <c:v>2001-2002</c:v>
                </c:pt>
                <c:pt idx="2">
                  <c:v>2002-2003</c:v>
                </c:pt>
                <c:pt idx="3">
                  <c:v>2003-2004</c:v>
                </c:pt>
                <c:pt idx="4">
                  <c:v>2004-2005</c:v>
                </c:pt>
                <c:pt idx="5">
                  <c:v>2005-2006</c:v>
                </c:pt>
                <c:pt idx="6">
                  <c:v>2006-2007</c:v>
                </c:pt>
                <c:pt idx="7">
                  <c:v>2007-2008</c:v>
                </c:pt>
                <c:pt idx="8">
                  <c:v>2008-2009</c:v>
                </c:pt>
                <c:pt idx="9">
                  <c:v>2009-2010</c:v>
                </c:pt>
                <c:pt idx="10">
                  <c:v>2010-2011</c:v>
                </c:pt>
                <c:pt idx="11">
                  <c:v>2011-2012</c:v>
                </c:pt>
                <c:pt idx="12">
                  <c:v>2012-2013</c:v>
                </c:pt>
                <c:pt idx="13">
                  <c:v>2013-2014</c:v>
                </c:pt>
                <c:pt idx="14">
                  <c:v>2014-2015</c:v>
                </c:pt>
                <c:pt idx="15">
                  <c:v>2015-2016</c:v>
                </c:pt>
                <c:pt idx="16">
                  <c:v>2016-2017</c:v>
                </c:pt>
                <c:pt idx="17">
                  <c:v>2017-2018</c:v>
                </c:pt>
              </c:strCache>
            </c:strRef>
          </c:cat>
          <c:val>
            <c:numRef>
              <c:f>Sheet1!$B$9:$S$9</c:f>
              <c:numCache>
                <c:formatCode>0%</c:formatCode>
                <c:ptCount val="18"/>
                <c:pt idx="1">
                  <c:v>0.45</c:v>
                </c:pt>
              </c:numCache>
            </c:numRef>
          </c:val>
          <c:extLst>
            <c:ext xmlns:c16="http://schemas.microsoft.com/office/drawing/2014/chart" uri="{C3380CC4-5D6E-409C-BE32-E72D297353CC}">
              <c16:uniqueId val="{00000007-C7B3-42F4-AC06-42B387A724E4}"/>
            </c:ext>
          </c:extLst>
        </c:ser>
        <c:ser>
          <c:idx val="8"/>
          <c:order val="8"/>
          <c:tx>
            <c:strRef>
              <c:f>Sheet1!$A$10</c:f>
              <c:strCache>
                <c:ptCount val="1"/>
                <c:pt idx="0">
                  <c:v>BetComp9</c:v>
                </c:pt>
              </c:strCache>
            </c:strRef>
          </c:tx>
          <c:spPr>
            <a:solidFill>
              <a:schemeClr val="accent3">
                <a:lumMod val="60000"/>
              </a:schemeClr>
            </a:solidFill>
            <a:ln>
              <a:noFill/>
            </a:ln>
            <a:effectLst/>
          </c:spPr>
          <c:invertIfNegative val="0"/>
          <c:cat>
            <c:strRef>
              <c:f>Sheet1!$B$1:$S$1</c:f>
              <c:strCache>
                <c:ptCount val="18"/>
                <c:pt idx="0">
                  <c:v>2000-2001</c:v>
                </c:pt>
                <c:pt idx="1">
                  <c:v>2001-2002</c:v>
                </c:pt>
                <c:pt idx="2">
                  <c:v>2002-2003</c:v>
                </c:pt>
                <c:pt idx="3">
                  <c:v>2003-2004</c:v>
                </c:pt>
                <c:pt idx="4">
                  <c:v>2004-2005</c:v>
                </c:pt>
                <c:pt idx="5">
                  <c:v>2005-2006</c:v>
                </c:pt>
                <c:pt idx="6">
                  <c:v>2006-2007</c:v>
                </c:pt>
                <c:pt idx="7">
                  <c:v>2007-2008</c:v>
                </c:pt>
                <c:pt idx="8">
                  <c:v>2008-2009</c:v>
                </c:pt>
                <c:pt idx="9">
                  <c:v>2009-2010</c:v>
                </c:pt>
                <c:pt idx="10">
                  <c:v>2010-2011</c:v>
                </c:pt>
                <c:pt idx="11">
                  <c:v>2011-2012</c:v>
                </c:pt>
                <c:pt idx="12">
                  <c:v>2012-2013</c:v>
                </c:pt>
                <c:pt idx="13">
                  <c:v>2013-2014</c:v>
                </c:pt>
                <c:pt idx="14">
                  <c:v>2014-2015</c:v>
                </c:pt>
                <c:pt idx="15">
                  <c:v>2015-2016</c:v>
                </c:pt>
                <c:pt idx="16">
                  <c:v>2016-2017</c:v>
                </c:pt>
                <c:pt idx="17">
                  <c:v>2017-2018</c:v>
                </c:pt>
              </c:strCache>
            </c:strRef>
          </c:cat>
          <c:val>
            <c:numRef>
              <c:f>Sheet1!$B$10:$S$10</c:f>
              <c:numCache>
                <c:formatCode>0.00%</c:formatCode>
                <c:ptCount val="18"/>
                <c:pt idx="0">
                  <c:v>0.47799999999999998</c:v>
                </c:pt>
                <c:pt idx="1">
                  <c:v>0.437</c:v>
                </c:pt>
                <c:pt idx="2" formatCode="0%">
                  <c:v>0.47</c:v>
                </c:pt>
                <c:pt idx="3">
                  <c:v>0.50700000000000001</c:v>
                </c:pt>
                <c:pt idx="4">
                  <c:v>0.49299999999999999</c:v>
                </c:pt>
                <c:pt idx="5">
                  <c:v>0.497</c:v>
                </c:pt>
                <c:pt idx="6">
                  <c:v>0.47199999999999998</c:v>
                </c:pt>
                <c:pt idx="7">
                  <c:v>0.50900000000000001</c:v>
                </c:pt>
                <c:pt idx="8">
                  <c:v>0.50700000000000001</c:v>
                </c:pt>
                <c:pt idx="9">
                  <c:v>0.48599999999999999</c:v>
                </c:pt>
                <c:pt idx="10">
                  <c:v>0.498</c:v>
                </c:pt>
                <c:pt idx="11">
                  <c:v>0.48899999999999999</c:v>
                </c:pt>
                <c:pt idx="12">
                  <c:v>0.46899999999999997</c:v>
                </c:pt>
                <c:pt idx="13">
                  <c:v>0.52500000000000002</c:v>
                </c:pt>
                <c:pt idx="14">
                  <c:v>0.50600000000000001</c:v>
                </c:pt>
                <c:pt idx="15">
                  <c:v>0.46399999999999997</c:v>
                </c:pt>
                <c:pt idx="16">
                  <c:v>0.54600000000000004</c:v>
                </c:pt>
                <c:pt idx="17">
                  <c:v>0.51400000000000001</c:v>
                </c:pt>
              </c:numCache>
            </c:numRef>
          </c:val>
          <c:extLst>
            <c:ext xmlns:c16="http://schemas.microsoft.com/office/drawing/2014/chart" uri="{C3380CC4-5D6E-409C-BE32-E72D297353CC}">
              <c16:uniqueId val="{00000008-C7B3-42F4-AC06-42B387A724E4}"/>
            </c:ext>
          </c:extLst>
        </c:ser>
        <c:ser>
          <c:idx val="9"/>
          <c:order val="9"/>
          <c:tx>
            <c:strRef>
              <c:f>Sheet1!$A$11</c:f>
              <c:strCache>
                <c:ptCount val="1"/>
                <c:pt idx="0">
                  <c:v>BetComp10</c:v>
                </c:pt>
              </c:strCache>
            </c:strRef>
          </c:tx>
          <c:spPr>
            <a:solidFill>
              <a:schemeClr val="accent4">
                <a:lumMod val="60000"/>
              </a:schemeClr>
            </a:solidFill>
            <a:ln>
              <a:noFill/>
            </a:ln>
            <a:effectLst/>
          </c:spPr>
          <c:invertIfNegative val="0"/>
          <c:cat>
            <c:strRef>
              <c:f>Sheet1!$B$1:$S$1</c:f>
              <c:strCache>
                <c:ptCount val="18"/>
                <c:pt idx="0">
                  <c:v>2000-2001</c:v>
                </c:pt>
                <c:pt idx="1">
                  <c:v>2001-2002</c:v>
                </c:pt>
                <c:pt idx="2">
                  <c:v>2002-2003</c:v>
                </c:pt>
                <c:pt idx="3">
                  <c:v>2003-2004</c:v>
                </c:pt>
                <c:pt idx="4">
                  <c:v>2004-2005</c:v>
                </c:pt>
                <c:pt idx="5">
                  <c:v>2005-2006</c:v>
                </c:pt>
                <c:pt idx="6">
                  <c:v>2006-2007</c:v>
                </c:pt>
                <c:pt idx="7">
                  <c:v>2007-2008</c:v>
                </c:pt>
                <c:pt idx="8">
                  <c:v>2008-2009</c:v>
                </c:pt>
                <c:pt idx="9">
                  <c:v>2009-2010</c:v>
                </c:pt>
                <c:pt idx="10">
                  <c:v>2010-2011</c:v>
                </c:pt>
                <c:pt idx="11">
                  <c:v>2011-2012</c:v>
                </c:pt>
                <c:pt idx="12">
                  <c:v>2012-2013</c:v>
                </c:pt>
                <c:pt idx="13">
                  <c:v>2013-2014</c:v>
                </c:pt>
                <c:pt idx="14">
                  <c:v>2014-2015</c:v>
                </c:pt>
                <c:pt idx="15">
                  <c:v>2015-2016</c:v>
                </c:pt>
                <c:pt idx="16">
                  <c:v>2016-2017</c:v>
                </c:pt>
                <c:pt idx="17">
                  <c:v>2017-2018</c:v>
                </c:pt>
              </c:strCache>
            </c:strRef>
          </c:cat>
          <c:val>
            <c:numRef>
              <c:f>Sheet1!$B$11:$S$11</c:f>
              <c:numCache>
                <c:formatCode>General</c:formatCode>
                <c:ptCount val="18"/>
                <c:pt idx="5" formatCode="0.00%">
                  <c:v>0.47799999999999998</c:v>
                </c:pt>
                <c:pt idx="6" formatCode="0%">
                  <c:v>0.45</c:v>
                </c:pt>
                <c:pt idx="7" formatCode="0%">
                  <c:v>0.46</c:v>
                </c:pt>
                <c:pt idx="8" formatCode="0.00%">
                  <c:v>0.498</c:v>
                </c:pt>
                <c:pt idx="9" formatCode="0%">
                  <c:v>0.54</c:v>
                </c:pt>
                <c:pt idx="10" formatCode="0.00%">
                  <c:v>0.48599999999999999</c:v>
                </c:pt>
                <c:pt idx="11" formatCode="0.00%">
                  <c:v>0.501</c:v>
                </c:pt>
                <c:pt idx="12" formatCode="0.00%">
                  <c:v>0.51800000000000002</c:v>
                </c:pt>
                <c:pt idx="13" formatCode="0.00%">
                  <c:v>0.54799999999999993</c:v>
                </c:pt>
                <c:pt idx="14" formatCode="0.00%">
                  <c:v>0.52200000000000002</c:v>
                </c:pt>
                <c:pt idx="15" formatCode="0.00%">
                  <c:v>0.46200000000000002</c:v>
                </c:pt>
                <c:pt idx="16" formatCode="0.00%">
                  <c:v>0.53600000000000003</c:v>
                </c:pt>
                <c:pt idx="17" formatCode="0.00%">
                  <c:v>0.48899999999999999</c:v>
                </c:pt>
              </c:numCache>
            </c:numRef>
          </c:val>
          <c:extLst>
            <c:ext xmlns:c16="http://schemas.microsoft.com/office/drawing/2014/chart" uri="{C3380CC4-5D6E-409C-BE32-E72D297353CC}">
              <c16:uniqueId val="{00000009-C7B3-42F4-AC06-42B387A724E4}"/>
            </c:ext>
          </c:extLst>
        </c:ser>
        <c:dLbls>
          <c:showLegendKey val="0"/>
          <c:showVal val="0"/>
          <c:showCatName val="0"/>
          <c:showSerName val="0"/>
          <c:showPercent val="0"/>
          <c:showBubbleSize val="0"/>
        </c:dLbls>
        <c:gapWidth val="199"/>
        <c:axId val="552972328"/>
        <c:axId val="552972984"/>
      </c:barChart>
      <c:catAx>
        <c:axId val="552972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552972984"/>
        <c:crosses val="autoZero"/>
        <c:auto val="1"/>
        <c:lblAlgn val="ctr"/>
        <c:lblOffset val="100"/>
        <c:noMultiLvlLbl val="0"/>
      </c:catAx>
      <c:valAx>
        <c:axId val="55297298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97232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GB"/>
              <a:t>DT vs DT ELO</a:t>
            </a: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col"/>
        <c:grouping val="clustered"/>
        <c:varyColors val="0"/>
        <c:ser>
          <c:idx val="0"/>
          <c:order val="0"/>
          <c:tx>
            <c:strRef>
              <c:f>'All Bookies'!$A$2</c:f>
              <c:strCache>
                <c:ptCount val="1"/>
                <c:pt idx="0">
                  <c:v>DT</c:v>
                </c:pt>
              </c:strCache>
            </c:strRef>
          </c:tx>
          <c:spPr>
            <a:solidFill>
              <a:schemeClr val="accent1"/>
            </a:solidFill>
            <a:ln>
              <a:noFill/>
            </a:ln>
            <a:effectLst/>
          </c:spPr>
          <c:invertIfNegative val="0"/>
          <c:cat>
            <c:strRef>
              <c:f>'All Bookies'!$B$1:$S$1</c:f>
              <c:strCache>
                <c:ptCount val="18"/>
                <c:pt idx="0">
                  <c:v>2000-2001</c:v>
                </c:pt>
                <c:pt idx="1">
                  <c:v>2001-2002</c:v>
                </c:pt>
                <c:pt idx="2">
                  <c:v>2002-2003</c:v>
                </c:pt>
                <c:pt idx="3">
                  <c:v>2003-2004</c:v>
                </c:pt>
                <c:pt idx="4">
                  <c:v>2004-2005</c:v>
                </c:pt>
                <c:pt idx="5">
                  <c:v>2005-2006</c:v>
                </c:pt>
                <c:pt idx="6">
                  <c:v>2006-2007</c:v>
                </c:pt>
                <c:pt idx="7">
                  <c:v>2007-2008</c:v>
                </c:pt>
                <c:pt idx="8">
                  <c:v>2008-2009</c:v>
                </c:pt>
                <c:pt idx="9">
                  <c:v>2009-2010</c:v>
                </c:pt>
                <c:pt idx="10">
                  <c:v>2010-2011</c:v>
                </c:pt>
                <c:pt idx="11">
                  <c:v>2011-2012</c:v>
                </c:pt>
                <c:pt idx="12">
                  <c:v>2012-2013</c:v>
                </c:pt>
                <c:pt idx="13">
                  <c:v>2013-2014</c:v>
                </c:pt>
                <c:pt idx="14">
                  <c:v>2014-2015</c:v>
                </c:pt>
                <c:pt idx="15">
                  <c:v>2015-2016</c:v>
                </c:pt>
                <c:pt idx="16">
                  <c:v>2016-2017</c:v>
                </c:pt>
                <c:pt idx="17">
                  <c:v>2017-2018</c:v>
                </c:pt>
              </c:strCache>
            </c:strRef>
          </c:cat>
          <c:val>
            <c:numRef>
              <c:f>'All Bookies'!$B$2:$S$2</c:f>
              <c:numCache>
                <c:formatCode>0.00%</c:formatCode>
                <c:ptCount val="18"/>
                <c:pt idx="0">
                  <c:v>0.44400000000000001</c:v>
                </c:pt>
                <c:pt idx="1">
                  <c:v>0.42499999999999999</c:v>
                </c:pt>
                <c:pt idx="2">
                  <c:v>0.40699999999999997</c:v>
                </c:pt>
                <c:pt idx="3">
                  <c:v>0.436</c:v>
                </c:pt>
                <c:pt idx="4">
                  <c:v>0.39700000000000002</c:v>
                </c:pt>
                <c:pt idx="5">
                  <c:v>0.438</c:v>
                </c:pt>
                <c:pt idx="6">
                  <c:v>0.43099999999999999</c:v>
                </c:pt>
                <c:pt idx="7">
                  <c:v>0.41599999999999998</c:v>
                </c:pt>
                <c:pt idx="8">
                  <c:v>0.47600000000000003</c:v>
                </c:pt>
                <c:pt idx="9" formatCode="0%">
                  <c:v>0.49</c:v>
                </c:pt>
                <c:pt idx="10">
                  <c:v>0.40600000000000003</c:v>
                </c:pt>
                <c:pt idx="11">
                  <c:v>0.42700000000000005</c:v>
                </c:pt>
                <c:pt idx="12">
                  <c:v>0.495</c:v>
                </c:pt>
                <c:pt idx="13">
                  <c:v>0.45700000000000002</c:v>
                </c:pt>
                <c:pt idx="14">
                  <c:v>0.45700000000000002</c:v>
                </c:pt>
                <c:pt idx="15">
                  <c:v>0.48599999999999999</c:v>
                </c:pt>
                <c:pt idx="16">
                  <c:v>0.49299999999999999</c:v>
                </c:pt>
                <c:pt idx="17">
                  <c:v>0.47399999999999998</c:v>
                </c:pt>
              </c:numCache>
            </c:numRef>
          </c:val>
          <c:extLst>
            <c:ext xmlns:c16="http://schemas.microsoft.com/office/drawing/2014/chart" uri="{C3380CC4-5D6E-409C-BE32-E72D297353CC}">
              <c16:uniqueId val="{00000000-0A49-4314-9B98-F84BC7F656F5}"/>
            </c:ext>
          </c:extLst>
        </c:ser>
        <c:ser>
          <c:idx val="1"/>
          <c:order val="1"/>
          <c:tx>
            <c:strRef>
              <c:f>'All Bookies'!$A$3</c:f>
              <c:strCache>
                <c:ptCount val="1"/>
                <c:pt idx="0">
                  <c:v>DT ELO</c:v>
                </c:pt>
              </c:strCache>
            </c:strRef>
          </c:tx>
          <c:spPr>
            <a:solidFill>
              <a:schemeClr val="accent2"/>
            </a:solidFill>
            <a:ln>
              <a:noFill/>
            </a:ln>
            <a:effectLst/>
          </c:spPr>
          <c:invertIfNegative val="0"/>
          <c:cat>
            <c:strRef>
              <c:f>'All Bookies'!$B$1:$S$1</c:f>
              <c:strCache>
                <c:ptCount val="18"/>
                <c:pt idx="0">
                  <c:v>2000-2001</c:v>
                </c:pt>
                <c:pt idx="1">
                  <c:v>2001-2002</c:v>
                </c:pt>
                <c:pt idx="2">
                  <c:v>2002-2003</c:v>
                </c:pt>
                <c:pt idx="3">
                  <c:v>2003-2004</c:v>
                </c:pt>
                <c:pt idx="4">
                  <c:v>2004-2005</c:v>
                </c:pt>
                <c:pt idx="5">
                  <c:v>2005-2006</c:v>
                </c:pt>
                <c:pt idx="6">
                  <c:v>2006-2007</c:v>
                </c:pt>
                <c:pt idx="7">
                  <c:v>2007-2008</c:v>
                </c:pt>
                <c:pt idx="8">
                  <c:v>2008-2009</c:v>
                </c:pt>
                <c:pt idx="9">
                  <c:v>2009-2010</c:v>
                </c:pt>
                <c:pt idx="10">
                  <c:v>2010-2011</c:v>
                </c:pt>
                <c:pt idx="11">
                  <c:v>2011-2012</c:v>
                </c:pt>
                <c:pt idx="12">
                  <c:v>2012-2013</c:v>
                </c:pt>
                <c:pt idx="13">
                  <c:v>2013-2014</c:v>
                </c:pt>
                <c:pt idx="14">
                  <c:v>2014-2015</c:v>
                </c:pt>
                <c:pt idx="15">
                  <c:v>2015-2016</c:v>
                </c:pt>
                <c:pt idx="16">
                  <c:v>2016-2017</c:v>
                </c:pt>
                <c:pt idx="17">
                  <c:v>2017-2018</c:v>
                </c:pt>
              </c:strCache>
            </c:strRef>
          </c:cat>
          <c:val>
            <c:numRef>
              <c:f>'All Bookies'!$B$3:$S$3</c:f>
              <c:numCache>
                <c:formatCode>0.00%</c:formatCode>
                <c:ptCount val="18"/>
                <c:pt idx="0">
                  <c:v>0.46700000000000003</c:v>
                </c:pt>
                <c:pt idx="1">
                  <c:v>0.52800000000000002</c:v>
                </c:pt>
                <c:pt idx="2">
                  <c:v>0.40799999999999997</c:v>
                </c:pt>
                <c:pt idx="3">
                  <c:v>0.46400000000000002</c:v>
                </c:pt>
                <c:pt idx="4">
                  <c:v>0.42199999999999999</c:v>
                </c:pt>
                <c:pt idx="5">
                  <c:v>0.45200000000000001</c:v>
                </c:pt>
                <c:pt idx="6">
                  <c:v>0.39600000000000002</c:v>
                </c:pt>
                <c:pt idx="7">
                  <c:v>0.40700000000000003</c:v>
                </c:pt>
                <c:pt idx="8">
                  <c:v>0.46800000000000003</c:v>
                </c:pt>
                <c:pt idx="9">
                  <c:v>0.44700000000000001</c:v>
                </c:pt>
                <c:pt idx="10">
                  <c:v>0.39500000000000002</c:v>
                </c:pt>
                <c:pt idx="11">
                  <c:v>0.42799999999999999</c:v>
                </c:pt>
                <c:pt idx="12" formatCode="0%">
                  <c:v>0.54</c:v>
                </c:pt>
                <c:pt idx="13">
                  <c:v>0.5</c:v>
                </c:pt>
                <c:pt idx="14">
                  <c:v>0.439</c:v>
                </c:pt>
                <c:pt idx="15">
                  <c:v>0.43099999999999999</c:v>
                </c:pt>
                <c:pt idx="16">
                  <c:v>0.502</c:v>
                </c:pt>
                <c:pt idx="17">
                  <c:v>0.46799999999999997</c:v>
                </c:pt>
              </c:numCache>
            </c:numRef>
          </c:val>
          <c:extLst>
            <c:ext xmlns:c16="http://schemas.microsoft.com/office/drawing/2014/chart" uri="{C3380CC4-5D6E-409C-BE32-E72D297353CC}">
              <c16:uniqueId val="{00000001-0A49-4314-9B98-F84BC7F656F5}"/>
            </c:ext>
          </c:extLst>
        </c:ser>
        <c:dLbls>
          <c:showLegendKey val="0"/>
          <c:showVal val="0"/>
          <c:showCatName val="0"/>
          <c:showSerName val="0"/>
          <c:showPercent val="0"/>
          <c:showBubbleSize val="0"/>
        </c:dLbls>
        <c:gapWidth val="199"/>
        <c:axId val="324516336"/>
        <c:axId val="324514368"/>
      </c:barChart>
      <c:catAx>
        <c:axId val="3245163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324514368"/>
        <c:crosses val="autoZero"/>
        <c:auto val="1"/>
        <c:lblAlgn val="ctr"/>
        <c:lblOffset val="100"/>
        <c:noMultiLvlLbl val="0"/>
      </c:catAx>
      <c:valAx>
        <c:axId val="324514368"/>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451633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a:t>EPL</a:t>
            </a: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col"/>
        <c:grouping val="clustered"/>
        <c:varyColors val="0"/>
        <c:ser>
          <c:idx val="0"/>
          <c:order val="0"/>
          <c:tx>
            <c:strRef>
              <c:f>BPL!$A$2</c:f>
              <c:strCache>
                <c:ptCount val="1"/>
                <c:pt idx="0">
                  <c:v>DT BPL</c:v>
                </c:pt>
              </c:strCache>
            </c:strRef>
          </c:tx>
          <c:spPr>
            <a:solidFill>
              <a:schemeClr val="accent1"/>
            </a:solidFill>
            <a:ln>
              <a:noFill/>
            </a:ln>
            <a:effectLst/>
          </c:spPr>
          <c:invertIfNegative val="0"/>
          <c:cat>
            <c:strRef>
              <c:f>BPL!$B$1:$S$1</c:f>
              <c:strCache>
                <c:ptCount val="18"/>
                <c:pt idx="0">
                  <c:v>2000-2001</c:v>
                </c:pt>
                <c:pt idx="1">
                  <c:v>2001-2002</c:v>
                </c:pt>
                <c:pt idx="2">
                  <c:v>2002-2003</c:v>
                </c:pt>
                <c:pt idx="3">
                  <c:v>2003-2004</c:v>
                </c:pt>
                <c:pt idx="4">
                  <c:v>2004-2005</c:v>
                </c:pt>
                <c:pt idx="5">
                  <c:v>2005-2006</c:v>
                </c:pt>
                <c:pt idx="6">
                  <c:v>2006-2007</c:v>
                </c:pt>
                <c:pt idx="7">
                  <c:v>2007-2008</c:v>
                </c:pt>
                <c:pt idx="8">
                  <c:v>2008-2009</c:v>
                </c:pt>
                <c:pt idx="9">
                  <c:v>2009-2010</c:v>
                </c:pt>
                <c:pt idx="10">
                  <c:v>2010-2011</c:v>
                </c:pt>
                <c:pt idx="11">
                  <c:v>2011-2012</c:v>
                </c:pt>
                <c:pt idx="12">
                  <c:v>2012-2013</c:v>
                </c:pt>
                <c:pt idx="13">
                  <c:v>2013-2014</c:v>
                </c:pt>
                <c:pt idx="14">
                  <c:v>2014-2015</c:v>
                </c:pt>
                <c:pt idx="15">
                  <c:v>2015-2016</c:v>
                </c:pt>
                <c:pt idx="16">
                  <c:v>2016-2017</c:v>
                </c:pt>
                <c:pt idx="17">
                  <c:v>2017-2018</c:v>
                </c:pt>
              </c:strCache>
            </c:strRef>
          </c:cat>
          <c:val>
            <c:numRef>
              <c:f>BPL!$B$2:$S$2</c:f>
              <c:numCache>
                <c:formatCode>0.00%</c:formatCode>
                <c:ptCount val="18"/>
                <c:pt idx="0">
                  <c:v>0.438</c:v>
                </c:pt>
                <c:pt idx="1">
                  <c:v>0.45200000000000001</c:v>
                </c:pt>
                <c:pt idx="2">
                  <c:v>0.47699999999999998</c:v>
                </c:pt>
                <c:pt idx="3">
                  <c:v>0.40200000000000002</c:v>
                </c:pt>
                <c:pt idx="4">
                  <c:v>0.42799999999999999</c:v>
                </c:pt>
                <c:pt idx="5" formatCode="0%">
                  <c:v>0.46</c:v>
                </c:pt>
                <c:pt idx="6">
                  <c:v>0.45500000000000002</c:v>
                </c:pt>
                <c:pt idx="7">
                  <c:v>0.501</c:v>
                </c:pt>
                <c:pt idx="8">
                  <c:v>0.53900000000000003</c:v>
                </c:pt>
                <c:pt idx="9">
                  <c:v>0.42799999999999999</c:v>
                </c:pt>
                <c:pt idx="10">
                  <c:v>0.39400000000000002</c:v>
                </c:pt>
                <c:pt idx="11">
                  <c:v>0.41499999999999998</c:v>
                </c:pt>
                <c:pt idx="12">
                  <c:v>0.44700000000000001</c:v>
                </c:pt>
                <c:pt idx="13">
                  <c:v>0.58599999999999997</c:v>
                </c:pt>
                <c:pt idx="14">
                  <c:v>0.41399999999999998</c:v>
                </c:pt>
                <c:pt idx="15">
                  <c:v>0.41399999999999998</c:v>
                </c:pt>
                <c:pt idx="16" formatCode="0%">
                  <c:v>0.5</c:v>
                </c:pt>
                <c:pt idx="17">
                  <c:v>0.48599999999999999</c:v>
                </c:pt>
              </c:numCache>
            </c:numRef>
          </c:val>
          <c:extLst>
            <c:ext xmlns:c16="http://schemas.microsoft.com/office/drawing/2014/chart" uri="{C3380CC4-5D6E-409C-BE32-E72D297353CC}">
              <c16:uniqueId val="{00000000-8C1D-4F43-AAA1-E6F87CAD13C6}"/>
            </c:ext>
          </c:extLst>
        </c:ser>
        <c:dLbls>
          <c:showLegendKey val="0"/>
          <c:showVal val="0"/>
          <c:showCatName val="0"/>
          <c:showSerName val="0"/>
          <c:showPercent val="0"/>
          <c:showBubbleSize val="0"/>
        </c:dLbls>
        <c:gapWidth val="199"/>
        <c:axId val="493353936"/>
        <c:axId val="499793504"/>
      </c:barChart>
      <c:catAx>
        <c:axId val="4933539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499793504"/>
        <c:crosses val="autoZero"/>
        <c:auto val="1"/>
        <c:lblAlgn val="ctr"/>
        <c:lblOffset val="100"/>
        <c:noMultiLvlLbl val="0"/>
      </c:catAx>
      <c:valAx>
        <c:axId val="49979350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33539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Serie 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'C:\Users\User\Desktop\[Overall Results w.xlsx]Charts'!$A$3</c:f>
              <c:strCache>
                <c:ptCount val="1"/>
                <c:pt idx="0">
                  <c:v>DT Serie 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'C:\Users\User\Desktop\[Overall Results w.xlsx]Charts'!$B$1:$S$1</c:f>
              <c:strCache>
                <c:ptCount val="18"/>
                <c:pt idx="0">
                  <c:v>2000-2001</c:v>
                </c:pt>
                <c:pt idx="1">
                  <c:v>2001-2002</c:v>
                </c:pt>
                <c:pt idx="2">
                  <c:v>2002-2003</c:v>
                </c:pt>
                <c:pt idx="3">
                  <c:v>2003-2004</c:v>
                </c:pt>
                <c:pt idx="4">
                  <c:v>2004-2005</c:v>
                </c:pt>
                <c:pt idx="5">
                  <c:v>2005-2006</c:v>
                </c:pt>
                <c:pt idx="6">
                  <c:v>2006-2007</c:v>
                </c:pt>
                <c:pt idx="7">
                  <c:v>2007-2008</c:v>
                </c:pt>
                <c:pt idx="8">
                  <c:v>2008-2009</c:v>
                </c:pt>
                <c:pt idx="9">
                  <c:v>2009-2010</c:v>
                </c:pt>
                <c:pt idx="10">
                  <c:v>2010-2011</c:v>
                </c:pt>
                <c:pt idx="11">
                  <c:v>2011-2012</c:v>
                </c:pt>
                <c:pt idx="12">
                  <c:v>2012-2013</c:v>
                </c:pt>
                <c:pt idx="13">
                  <c:v>2013-2014</c:v>
                </c:pt>
                <c:pt idx="14">
                  <c:v>2014-2015</c:v>
                </c:pt>
                <c:pt idx="15">
                  <c:v>2015-2016</c:v>
                </c:pt>
                <c:pt idx="16">
                  <c:v>2016-2017</c:v>
                </c:pt>
                <c:pt idx="17">
                  <c:v>2017-2018</c:v>
                </c:pt>
              </c:strCache>
            </c:strRef>
          </c:cat>
          <c:val>
            <c:numRef>
              <c:f>'C:\Users\User\Desktop\[Overall Results w.xlsx]Charts'!$B$3:$S$3</c:f>
              <c:numCache>
                <c:formatCode>0.00%</c:formatCode>
                <c:ptCount val="18"/>
                <c:pt idx="0">
                  <c:v>0.372</c:v>
                </c:pt>
                <c:pt idx="1">
                  <c:v>0.46500000000000002</c:v>
                </c:pt>
                <c:pt idx="2">
                  <c:v>0.40899999999999997</c:v>
                </c:pt>
                <c:pt idx="3">
                  <c:v>0.40899999999999997</c:v>
                </c:pt>
                <c:pt idx="4">
                  <c:v>0.40200000000000002</c:v>
                </c:pt>
                <c:pt idx="5">
                  <c:v>0.503</c:v>
                </c:pt>
                <c:pt idx="6">
                  <c:v>0.38200000000000001</c:v>
                </c:pt>
                <c:pt idx="7">
                  <c:v>0.38200000000000001</c:v>
                </c:pt>
                <c:pt idx="8">
                  <c:v>0.496</c:v>
                </c:pt>
                <c:pt idx="9">
                  <c:v>0.438</c:v>
                </c:pt>
                <c:pt idx="10" formatCode="0%">
                  <c:v>0.43</c:v>
                </c:pt>
                <c:pt idx="11">
                  <c:v>0.437</c:v>
                </c:pt>
                <c:pt idx="12">
                  <c:v>0.498</c:v>
                </c:pt>
                <c:pt idx="13">
                  <c:v>0.42199999999999999</c:v>
                </c:pt>
                <c:pt idx="14">
                  <c:v>0.374</c:v>
                </c:pt>
                <c:pt idx="15" formatCode="0%">
                  <c:v>0.44</c:v>
                </c:pt>
                <c:pt idx="16" formatCode="0%">
                  <c:v>0.51</c:v>
                </c:pt>
                <c:pt idx="17">
                  <c:v>0.59199999999999997</c:v>
                </c:pt>
              </c:numCache>
            </c:numRef>
          </c:val>
          <c:smooth val="0"/>
          <c:extLst>
            <c:ext xmlns:c16="http://schemas.microsoft.com/office/drawing/2014/chart" uri="{C3380CC4-5D6E-409C-BE32-E72D297353CC}">
              <c16:uniqueId val="{00000000-1654-4501-AA67-ABDF759CA87D}"/>
            </c:ext>
          </c:extLst>
        </c:ser>
        <c:dLbls>
          <c:showLegendKey val="0"/>
          <c:showVal val="0"/>
          <c:showCatName val="0"/>
          <c:showSerName val="0"/>
          <c:showPercent val="0"/>
          <c:showBubbleSize val="0"/>
        </c:dLbls>
        <c:marker val="1"/>
        <c:smooth val="0"/>
        <c:axId val="600825128"/>
        <c:axId val="600822504"/>
      </c:lineChart>
      <c:catAx>
        <c:axId val="6008251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0822504"/>
        <c:crosses val="autoZero"/>
        <c:auto val="1"/>
        <c:lblAlgn val="ctr"/>
        <c:lblOffset val="100"/>
        <c:noMultiLvlLbl val="0"/>
      </c:catAx>
      <c:valAx>
        <c:axId val="600822504"/>
        <c:scaling>
          <c:orientation val="minMax"/>
          <c:min val="0"/>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08251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Bundesliga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Bundesliga!$A$2</c:f>
              <c:strCache>
                <c:ptCount val="1"/>
                <c:pt idx="0">
                  <c:v>DT Bundesliga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Bundesliga!$B$1:$S$1</c:f>
              <c:strCache>
                <c:ptCount val="18"/>
                <c:pt idx="0">
                  <c:v>2000-2001</c:v>
                </c:pt>
                <c:pt idx="1">
                  <c:v>2001-2002</c:v>
                </c:pt>
                <c:pt idx="2">
                  <c:v>2002-2003</c:v>
                </c:pt>
                <c:pt idx="3">
                  <c:v>2003-2004</c:v>
                </c:pt>
                <c:pt idx="4">
                  <c:v>2004-2005</c:v>
                </c:pt>
                <c:pt idx="5">
                  <c:v>2005-2006</c:v>
                </c:pt>
                <c:pt idx="6">
                  <c:v>2006-2007</c:v>
                </c:pt>
                <c:pt idx="7">
                  <c:v>2007-2008</c:v>
                </c:pt>
                <c:pt idx="8">
                  <c:v>2008-2009</c:v>
                </c:pt>
                <c:pt idx="9">
                  <c:v>2009-2010</c:v>
                </c:pt>
                <c:pt idx="10">
                  <c:v>2010-2011</c:v>
                </c:pt>
                <c:pt idx="11">
                  <c:v>2011-2012</c:v>
                </c:pt>
                <c:pt idx="12">
                  <c:v>2012-2013</c:v>
                </c:pt>
                <c:pt idx="13">
                  <c:v>2013-2014</c:v>
                </c:pt>
                <c:pt idx="14">
                  <c:v>2014-2015</c:v>
                </c:pt>
                <c:pt idx="15">
                  <c:v>2015-2016</c:v>
                </c:pt>
                <c:pt idx="16">
                  <c:v>2016-2017</c:v>
                </c:pt>
                <c:pt idx="17">
                  <c:v>2017-2018</c:v>
                </c:pt>
              </c:strCache>
            </c:strRef>
          </c:cat>
          <c:val>
            <c:numRef>
              <c:f>Bundesliga!$B$2:$S$2</c:f>
              <c:numCache>
                <c:formatCode>0.00%</c:formatCode>
                <c:ptCount val="18"/>
                <c:pt idx="0" formatCode="0%">
                  <c:v>0.53</c:v>
                </c:pt>
                <c:pt idx="1">
                  <c:v>0.41799999999999998</c:v>
                </c:pt>
                <c:pt idx="2">
                  <c:v>0.33300000000000002</c:v>
                </c:pt>
                <c:pt idx="3">
                  <c:v>0.51200000000000001</c:v>
                </c:pt>
                <c:pt idx="4">
                  <c:v>0.42699999999999999</c:v>
                </c:pt>
                <c:pt idx="5">
                  <c:v>0.42199999999999999</c:v>
                </c:pt>
                <c:pt idx="6">
                  <c:v>0.377</c:v>
                </c:pt>
                <c:pt idx="7">
                  <c:v>0.44600000000000001</c:v>
                </c:pt>
                <c:pt idx="8">
                  <c:v>0.34100000000000003</c:v>
                </c:pt>
                <c:pt idx="9">
                  <c:v>0.36799999999999999</c:v>
                </c:pt>
                <c:pt idx="10">
                  <c:v>0.376</c:v>
                </c:pt>
                <c:pt idx="11">
                  <c:v>0.42199999999999999</c:v>
                </c:pt>
                <c:pt idx="12">
                  <c:v>0.39900000000000002</c:v>
                </c:pt>
                <c:pt idx="13">
                  <c:v>0.35199999999999998</c:v>
                </c:pt>
                <c:pt idx="14">
                  <c:v>0.38500000000000001</c:v>
                </c:pt>
                <c:pt idx="15">
                  <c:v>0.39900000000000002</c:v>
                </c:pt>
                <c:pt idx="16">
                  <c:v>0.378</c:v>
                </c:pt>
                <c:pt idx="17">
                  <c:v>0.36199999999999999</c:v>
                </c:pt>
              </c:numCache>
            </c:numRef>
          </c:val>
          <c:smooth val="0"/>
          <c:extLst>
            <c:ext xmlns:c16="http://schemas.microsoft.com/office/drawing/2014/chart" uri="{C3380CC4-5D6E-409C-BE32-E72D297353CC}">
              <c16:uniqueId val="{00000000-8424-496B-AA48-EFD3A1910469}"/>
            </c:ext>
          </c:extLst>
        </c:ser>
        <c:dLbls>
          <c:showLegendKey val="0"/>
          <c:showVal val="0"/>
          <c:showCatName val="0"/>
          <c:showSerName val="0"/>
          <c:showPercent val="0"/>
          <c:showBubbleSize val="0"/>
        </c:dLbls>
        <c:marker val="1"/>
        <c:smooth val="0"/>
        <c:axId val="552971344"/>
        <c:axId val="552969376"/>
      </c:lineChart>
      <c:catAx>
        <c:axId val="5529713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969376"/>
        <c:crosses val="autoZero"/>
        <c:auto val="1"/>
        <c:lblAlgn val="ctr"/>
        <c:lblOffset val="100"/>
        <c:noMultiLvlLbl val="0"/>
      </c:catAx>
      <c:valAx>
        <c:axId val="55296937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9713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La Liga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'La Liga'!$A$2</c:f>
              <c:strCache>
                <c:ptCount val="1"/>
                <c:pt idx="0">
                  <c:v>DT La Liga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'La Liga'!$B$1:$S$1</c:f>
              <c:strCache>
                <c:ptCount val="18"/>
                <c:pt idx="0">
                  <c:v>2000-2001</c:v>
                </c:pt>
                <c:pt idx="1">
                  <c:v>2001-2002</c:v>
                </c:pt>
                <c:pt idx="2">
                  <c:v>2002-2003</c:v>
                </c:pt>
                <c:pt idx="3">
                  <c:v>2003-2004</c:v>
                </c:pt>
                <c:pt idx="4">
                  <c:v>2004-2005</c:v>
                </c:pt>
                <c:pt idx="5">
                  <c:v>2005-2006</c:v>
                </c:pt>
                <c:pt idx="6">
                  <c:v>2006-2007</c:v>
                </c:pt>
                <c:pt idx="7">
                  <c:v>2007-2008</c:v>
                </c:pt>
                <c:pt idx="8">
                  <c:v>2008-2009</c:v>
                </c:pt>
                <c:pt idx="9">
                  <c:v>2009-2010</c:v>
                </c:pt>
                <c:pt idx="10">
                  <c:v>2010-2011</c:v>
                </c:pt>
                <c:pt idx="11">
                  <c:v>2011-2012</c:v>
                </c:pt>
                <c:pt idx="12">
                  <c:v>2012-2013</c:v>
                </c:pt>
                <c:pt idx="13">
                  <c:v>2013-2014</c:v>
                </c:pt>
                <c:pt idx="14">
                  <c:v>2014-2015</c:v>
                </c:pt>
                <c:pt idx="15">
                  <c:v>2015-2016</c:v>
                </c:pt>
                <c:pt idx="16">
                  <c:v>2016-2017</c:v>
                </c:pt>
                <c:pt idx="17">
                  <c:v>2017-2018</c:v>
                </c:pt>
              </c:strCache>
            </c:strRef>
          </c:cat>
          <c:val>
            <c:numRef>
              <c:f>'La Liga'!$B$2:$S$2</c:f>
              <c:numCache>
                <c:formatCode>0.00%</c:formatCode>
                <c:ptCount val="18"/>
                <c:pt idx="0">
                  <c:v>0.46700000000000003</c:v>
                </c:pt>
                <c:pt idx="1">
                  <c:v>0.35499999999999998</c:v>
                </c:pt>
                <c:pt idx="2">
                  <c:v>0.38200000000000001</c:v>
                </c:pt>
                <c:pt idx="3">
                  <c:v>0.39800000000000002</c:v>
                </c:pt>
                <c:pt idx="4">
                  <c:v>0.42699999999999999</c:v>
                </c:pt>
                <c:pt idx="5">
                  <c:v>0.42199999999999999</c:v>
                </c:pt>
                <c:pt idx="6">
                  <c:v>0.42100000000000004</c:v>
                </c:pt>
                <c:pt idx="7">
                  <c:v>0.33900000000000002</c:v>
                </c:pt>
                <c:pt idx="8">
                  <c:v>0.39399999999999996</c:v>
                </c:pt>
                <c:pt idx="9">
                  <c:v>0.55200000000000005</c:v>
                </c:pt>
                <c:pt idx="10">
                  <c:v>0.58899999999999997</c:v>
                </c:pt>
                <c:pt idx="11">
                  <c:v>0.39400000000000002</c:v>
                </c:pt>
                <c:pt idx="12">
                  <c:v>0.49399999999999999</c:v>
                </c:pt>
                <c:pt idx="13" formatCode="0%">
                  <c:v>0.46</c:v>
                </c:pt>
                <c:pt idx="14">
                  <c:v>0.52300000000000002</c:v>
                </c:pt>
                <c:pt idx="15">
                  <c:v>0.44800000000000001</c:v>
                </c:pt>
                <c:pt idx="16">
                  <c:v>0.48299999999999998</c:v>
                </c:pt>
                <c:pt idx="17">
                  <c:v>0.40100000000000002</c:v>
                </c:pt>
              </c:numCache>
            </c:numRef>
          </c:val>
          <c:smooth val="0"/>
          <c:extLst>
            <c:ext xmlns:c16="http://schemas.microsoft.com/office/drawing/2014/chart" uri="{C3380CC4-5D6E-409C-BE32-E72D297353CC}">
              <c16:uniqueId val="{00000000-6C2F-4DBF-A6AE-BC448372A8B8}"/>
            </c:ext>
          </c:extLst>
        </c:ser>
        <c:dLbls>
          <c:showLegendKey val="0"/>
          <c:showVal val="0"/>
          <c:showCatName val="0"/>
          <c:showSerName val="0"/>
          <c:showPercent val="0"/>
          <c:showBubbleSize val="0"/>
        </c:dLbls>
        <c:marker val="1"/>
        <c:smooth val="0"/>
        <c:axId val="562483224"/>
        <c:axId val="562478632"/>
      </c:lineChart>
      <c:catAx>
        <c:axId val="5624832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2478632"/>
        <c:crosses val="autoZero"/>
        <c:auto val="1"/>
        <c:lblAlgn val="ctr"/>
        <c:lblOffset val="100"/>
        <c:noMultiLvlLbl val="0"/>
      </c:catAx>
      <c:valAx>
        <c:axId val="56247863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24832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Ligue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'Ligue 1'!$A$2</c:f>
              <c:strCache>
                <c:ptCount val="1"/>
                <c:pt idx="0">
                  <c:v>DT Ligue 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'Ligue 1'!$B$1:$S$1</c:f>
              <c:strCache>
                <c:ptCount val="18"/>
                <c:pt idx="0">
                  <c:v>2000-2001</c:v>
                </c:pt>
                <c:pt idx="1">
                  <c:v>2001-2002</c:v>
                </c:pt>
                <c:pt idx="2">
                  <c:v>2002-2003</c:v>
                </c:pt>
                <c:pt idx="3">
                  <c:v>2003-2004</c:v>
                </c:pt>
                <c:pt idx="4">
                  <c:v>2004-2005</c:v>
                </c:pt>
                <c:pt idx="5">
                  <c:v>2005-2006</c:v>
                </c:pt>
                <c:pt idx="6">
                  <c:v>2006-2007</c:v>
                </c:pt>
                <c:pt idx="7">
                  <c:v>2007-2008</c:v>
                </c:pt>
                <c:pt idx="8">
                  <c:v>2008-2009</c:v>
                </c:pt>
                <c:pt idx="9">
                  <c:v>2009-2010</c:v>
                </c:pt>
                <c:pt idx="10">
                  <c:v>2010-2011</c:v>
                </c:pt>
                <c:pt idx="11">
                  <c:v>2011-2012</c:v>
                </c:pt>
                <c:pt idx="12">
                  <c:v>2012-2013</c:v>
                </c:pt>
                <c:pt idx="13">
                  <c:v>2013-2014</c:v>
                </c:pt>
                <c:pt idx="14">
                  <c:v>2014-2015</c:v>
                </c:pt>
                <c:pt idx="15">
                  <c:v>2015-2016</c:v>
                </c:pt>
                <c:pt idx="16">
                  <c:v>2016-2017</c:v>
                </c:pt>
                <c:pt idx="17">
                  <c:v>2017-2018</c:v>
                </c:pt>
              </c:strCache>
            </c:strRef>
          </c:cat>
          <c:val>
            <c:numRef>
              <c:f>'Ligue 1'!$B$2:$S$2</c:f>
              <c:numCache>
                <c:formatCode>0.00%</c:formatCode>
                <c:ptCount val="18"/>
                <c:pt idx="0">
                  <c:v>0.36699999999999999</c:v>
                </c:pt>
                <c:pt idx="1">
                  <c:v>0.223</c:v>
                </c:pt>
                <c:pt idx="2">
                  <c:v>0.379</c:v>
                </c:pt>
                <c:pt idx="3">
                  <c:v>0.36799999999999999</c:v>
                </c:pt>
                <c:pt idx="4">
                  <c:v>0.41599999999999998</c:v>
                </c:pt>
                <c:pt idx="5">
                  <c:v>0.45100000000000001</c:v>
                </c:pt>
                <c:pt idx="6">
                  <c:v>0.35199999999999998</c:v>
                </c:pt>
                <c:pt idx="7">
                  <c:v>0.46700000000000003</c:v>
                </c:pt>
                <c:pt idx="8">
                  <c:v>0.44700000000000001</c:v>
                </c:pt>
                <c:pt idx="9">
                  <c:v>0.42699999999999999</c:v>
                </c:pt>
                <c:pt idx="10">
                  <c:v>0.41499999999999998</c:v>
                </c:pt>
                <c:pt idx="11">
                  <c:v>0.46700000000000003</c:v>
                </c:pt>
                <c:pt idx="12">
                  <c:v>0.33900000000000002</c:v>
                </c:pt>
                <c:pt idx="13">
                  <c:v>0.47399999999999998</c:v>
                </c:pt>
                <c:pt idx="14">
                  <c:v>0.41899999999999998</c:v>
                </c:pt>
                <c:pt idx="15">
                  <c:v>0.41499999999999998</c:v>
                </c:pt>
                <c:pt idx="16">
                  <c:v>0.46400000000000002</c:v>
                </c:pt>
                <c:pt idx="17">
                  <c:v>0.42299999999999999</c:v>
                </c:pt>
              </c:numCache>
            </c:numRef>
          </c:val>
          <c:smooth val="0"/>
          <c:extLst>
            <c:ext xmlns:c16="http://schemas.microsoft.com/office/drawing/2014/chart" uri="{C3380CC4-5D6E-409C-BE32-E72D297353CC}">
              <c16:uniqueId val="{00000000-1DFC-469E-8778-89A6CBE43A3C}"/>
            </c:ext>
          </c:extLst>
        </c:ser>
        <c:dLbls>
          <c:showLegendKey val="0"/>
          <c:showVal val="0"/>
          <c:showCatName val="0"/>
          <c:showSerName val="0"/>
          <c:showPercent val="0"/>
          <c:showBubbleSize val="0"/>
        </c:dLbls>
        <c:marker val="1"/>
        <c:smooth val="0"/>
        <c:axId val="501479336"/>
        <c:axId val="501481632"/>
      </c:lineChart>
      <c:catAx>
        <c:axId val="5014793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1481632"/>
        <c:crosses val="autoZero"/>
        <c:auto val="1"/>
        <c:lblAlgn val="ctr"/>
        <c:lblOffset val="100"/>
        <c:noMultiLvlLbl val="0"/>
      </c:catAx>
      <c:valAx>
        <c:axId val="501481632"/>
        <c:scaling>
          <c:orientation val="minMax"/>
          <c:min val="0.1"/>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1479336"/>
        <c:crosses val="autoZero"/>
        <c:crossBetween val="between"/>
        <c:majorUnit val="0.1"/>
        <c:minorUnit val="5.000000000000001E-2"/>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1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1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676</TotalTime>
  <Pages>7</Pages>
  <Words>1820</Words>
  <Characters>10379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Geordey Lawrence Gatt</dc:creator>
  <cp:keywords/>
  <dc:description/>
  <cp:lastModifiedBy>Geordey Lawrence Gatt</cp:lastModifiedBy>
  <cp:revision>5</cp:revision>
  <dcterms:created xsi:type="dcterms:W3CDTF">2019-04-25T20:35:00Z</dcterms:created>
  <dcterms:modified xsi:type="dcterms:W3CDTF">2019-04-28T20:00:00Z</dcterms:modified>
</cp:coreProperties>
</file>