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AB6BB" w14:textId="2ACF5992" w:rsidR="006D09FF" w:rsidRDefault="006D09FF" w:rsidP="000F0001">
      <w:pPr>
        <w:pStyle w:val="Heading1"/>
      </w:pPr>
      <w:bookmarkStart w:id="0" w:name="_GoBack"/>
      <w:bookmarkEnd w:id="0"/>
      <w:r>
        <w:t xml:space="preserve">Final Report </w:t>
      </w:r>
      <w:r w:rsidR="000F0001">
        <w:br/>
      </w:r>
    </w:p>
    <w:p w14:paraId="1291CFA0" w14:textId="25F91734" w:rsidR="00B323B2" w:rsidRDefault="00B323B2" w:rsidP="002D5F32">
      <w:pPr>
        <w:pStyle w:val="Heading2"/>
      </w:pPr>
      <w:r>
        <w:t>Decision Trees VS Neural Networks</w:t>
      </w:r>
      <w:r w:rsidR="002D5F32">
        <w:br/>
      </w:r>
    </w:p>
    <w:p w14:paraId="55B7D5B6" w14:textId="1A72C2B1" w:rsidR="00B323B2" w:rsidRDefault="000F0001" w:rsidP="000F0001">
      <w:pPr>
        <w:jc w:val="both"/>
      </w:pPr>
      <w:r>
        <w:t xml:space="preserve">In this study two data mining techniques were used to </w:t>
      </w:r>
      <w:proofErr w:type="gramStart"/>
      <w:r>
        <w:t>compare and contrast</w:t>
      </w:r>
      <w:proofErr w:type="gramEnd"/>
      <w:r>
        <w:t xml:space="preserve"> the results obtained by both</w:t>
      </w:r>
      <w:r w:rsidR="006F1CBD">
        <w:t>, this also led to the determination of which of the techniques is more suitable for this specific scenario</w:t>
      </w:r>
      <w:r>
        <w:t xml:space="preserve">. The same models were fed to the different techniques and the results pinpoint some differences. For this study </w:t>
      </w:r>
      <w:proofErr w:type="gramStart"/>
      <w:r>
        <w:t>it is clear that Neural</w:t>
      </w:r>
      <w:proofErr w:type="gramEnd"/>
      <w:r>
        <w:t xml:space="preserve"> Networks are better suited. Results</w:t>
      </w:r>
      <w:r w:rsidR="00E271D1">
        <w:t xml:space="preserve"> in Figure 1.</w:t>
      </w:r>
      <w:r>
        <w:t xml:space="preserve"> illustrate the</w:t>
      </w:r>
      <w:r w:rsidR="00E10AC3">
        <w:t xml:space="preserve"> average percentage of correct</w:t>
      </w:r>
      <w:r w:rsidR="00E271D1">
        <w:t xml:space="preserve">ly </w:t>
      </w:r>
      <w:r w:rsidR="002B6AD6">
        <w:t>predicted</w:t>
      </w:r>
      <w:r w:rsidR="00E271D1">
        <w:t xml:space="preserve"> matches by both techniques. While Decision Trees fatigued to get results above 50%, Neural Networks managed </w:t>
      </w:r>
      <w:r w:rsidR="0091493A">
        <w:t xml:space="preserve">to obtain high accuracy rates.  The results presented above build on the positive results obtained in the study by </w:t>
      </w:r>
      <w:r w:rsidR="0091493A" w:rsidRPr="001F6C7E">
        <w:rPr>
          <w:i/>
        </w:rPr>
        <w:t xml:space="preserve">(S. Mohammad </w:t>
      </w:r>
      <w:proofErr w:type="spellStart"/>
      <w:r w:rsidR="0091493A" w:rsidRPr="001F6C7E">
        <w:rPr>
          <w:i/>
        </w:rPr>
        <w:t>Arabzad</w:t>
      </w:r>
      <w:proofErr w:type="spellEnd"/>
      <w:r w:rsidR="0091493A" w:rsidRPr="001F6C7E">
        <w:rPr>
          <w:i/>
        </w:rPr>
        <w:t xml:space="preserve"> et al. 2014)</w:t>
      </w:r>
      <w:r w:rsidR="006F1CBD">
        <w:rPr>
          <w:i/>
        </w:rPr>
        <w:t>.</w:t>
      </w:r>
      <w:r w:rsidR="006F1CBD" w:rsidRPr="006F1CBD">
        <w:rPr>
          <w:i/>
        </w:rPr>
        <w:t xml:space="preserve"> </w:t>
      </w:r>
      <w:r w:rsidR="006F1CBD" w:rsidRPr="001F6C7E">
        <w:rPr>
          <w:i/>
        </w:rPr>
        <w:t xml:space="preserve">(S. Mohammad </w:t>
      </w:r>
      <w:proofErr w:type="spellStart"/>
      <w:r w:rsidR="006F1CBD" w:rsidRPr="001F6C7E">
        <w:rPr>
          <w:i/>
        </w:rPr>
        <w:t>Arabzad</w:t>
      </w:r>
      <w:proofErr w:type="spellEnd"/>
      <w:r w:rsidR="006F1CBD" w:rsidRPr="001F6C7E">
        <w:rPr>
          <w:i/>
        </w:rPr>
        <w:t xml:space="preserve"> et al. 2014)</w:t>
      </w:r>
      <w:r w:rsidR="006F1CBD">
        <w:rPr>
          <w:i/>
        </w:rPr>
        <w:t xml:space="preserve">, </w:t>
      </w:r>
      <w:r w:rsidR="006F1CBD" w:rsidRPr="006F1CBD">
        <w:t>using a</w:t>
      </w:r>
      <w:r w:rsidR="006F1CBD">
        <w:t xml:space="preserve">n </w:t>
      </w:r>
      <w:r w:rsidR="006F1CBD" w:rsidRPr="006F1CBD">
        <w:t>artific</w:t>
      </w:r>
      <w:r w:rsidR="006F1CBD">
        <w:t>i</w:t>
      </w:r>
      <w:r w:rsidR="006F1CBD" w:rsidRPr="006F1CBD">
        <w:t>al</w:t>
      </w:r>
      <w:r w:rsidR="006F1CBD">
        <w:t xml:space="preserve"> neural network managed to correctly guess</w:t>
      </w:r>
      <w:r w:rsidR="002D5F32">
        <w:t xml:space="preserve"> both matches and final league positions. As discussed, results obtained throughout this study are complimentary to those obtained by </w:t>
      </w:r>
      <w:r w:rsidR="002D5F32" w:rsidRPr="001F6C7E">
        <w:rPr>
          <w:i/>
        </w:rPr>
        <w:t xml:space="preserve">(S. Mohammad </w:t>
      </w:r>
      <w:proofErr w:type="spellStart"/>
      <w:r w:rsidR="002D5F32" w:rsidRPr="001F6C7E">
        <w:rPr>
          <w:i/>
        </w:rPr>
        <w:t>Arabzad</w:t>
      </w:r>
      <w:proofErr w:type="spellEnd"/>
      <w:r w:rsidR="002D5F32" w:rsidRPr="001F6C7E">
        <w:rPr>
          <w:i/>
        </w:rPr>
        <w:t xml:space="preserve"> et al. 2014)</w:t>
      </w:r>
      <w:r w:rsidR="002D5F32">
        <w:rPr>
          <w:i/>
        </w:rPr>
        <w:t xml:space="preserve"> </w:t>
      </w:r>
      <w:r w:rsidR="0091493A">
        <w:t>and confirm the suitability of Neural Network</w:t>
      </w:r>
      <w:r w:rsidR="002D5F32">
        <w:t>s</w:t>
      </w:r>
      <w:r w:rsidR="0091493A">
        <w:t xml:space="preserve"> when making predictions</w:t>
      </w:r>
      <w:r w:rsidR="002D5F32">
        <w:t xml:space="preserve"> related to</w:t>
      </w:r>
      <w:r w:rsidR="0091493A">
        <w:t xml:space="preserve"> Football </w:t>
      </w:r>
      <w:r w:rsidR="006F1CBD">
        <w:t>m</w:t>
      </w:r>
      <w:r w:rsidR="0091493A">
        <w:t xml:space="preserve">atches. </w:t>
      </w:r>
    </w:p>
    <w:p w14:paraId="3FA3C5E9" w14:textId="77777777" w:rsidR="00006440" w:rsidRDefault="00006440" w:rsidP="000F0001">
      <w:pPr>
        <w:jc w:val="both"/>
      </w:pPr>
    </w:p>
    <w:p w14:paraId="5C501700" w14:textId="31401177" w:rsidR="002D5F32" w:rsidRPr="002D5F32" w:rsidRDefault="002D5F32" w:rsidP="000F0001">
      <w:pPr>
        <w:jc w:val="both"/>
        <w:rPr>
          <w:i/>
        </w:rPr>
      </w:pPr>
      <w:r>
        <w:rPr>
          <w:i/>
        </w:rPr>
        <w:t>Fig 1.</w:t>
      </w:r>
    </w:p>
    <w:tbl>
      <w:tblPr>
        <w:tblStyle w:val="GridTable1Light-Accent1"/>
        <w:tblpPr w:leftFromText="180" w:rightFromText="180" w:vertAnchor="text" w:horzAnchor="margin" w:tblpY="14"/>
        <w:tblW w:w="0" w:type="auto"/>
        <w:tblLook w:val="04A0" w:firstRow="1" w:lastRow="0" w:firstColumn="1" w:lastColumn="0" w:noHBand="0" w:noVBand="1"/>
      </w:tblPr>
      <w:tblGrid>
        <w:gridCol w:w="3005"/>
        <w:gridCol w:w="3005"/>
        <w:gridCol w:w="3006"/>
      </w:tblGrid>
      <w:tr w:rsidR="002D5F32" w14:paraId="5B938B67" w14:textId="77777777" w:rsidTr="002D5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C5B318" w14:textId="77777777" w:rsidR="002D5F32" w:rsidRDefault="002D5F32" w:rsidP="002D5F32"/>
        </w:tc>
        <w:tc>
          <w:tcPr>
            <w:tcW w:w="3005" w:type="dxa"/>
          </w:tcPr>
          <w:p w14:paraId="2B746375" w14:textId="77777777" w:rsidR="002D5F32" w:rsidRDefault="002D5F32" w:rsidP="002D5F32">
            <w:pPr>
              <w:cnfStyle w:val="100000000000" w:firstRow="1" w:lastRow="0" w:firstColumn="0" w:lastColumn="0" w:oddVBand="0" w:evenVBand="0" w:oddHBand="0" w:evenHBand="0" w:firstRowFirstColumn="0" w:firstRowLastColumn="0" w:lastRowFirstColumn="0" w:lastRowLastColumn="0"/>
            </w:pPr>
            <w:r>
              <w:t>Neural Networks</w:t>
            </w:r>
          </w:p>
        </w:tc>
        <w:tc>
          <w:tcPr>
            <w:tcW w:w="3006" w:type="dxa"/>
          </w:tcPr>
          <w:p w14:paraId="2B183AC6" w14:textId="77777777" w:rsidR="002D5F32" w:rsidRDefault="002D5F32" w:rsidP="002D5F32">
            <w:pPr>
              <w:cnfStyle w:val="100000000000" w:firstRow="1" w:lastRow="0" w:firstColumn="0" w:lastColumn="0" w:oddVBand="0" w:evenVBand="0" w:oddHBand="0" w:evenHBand="0" w:firstRowFirstColumn="0" w:firstRowLastColumn="0" w:lastRowFirstColumn="0" w:lastRowLastColumn="0"/>
            </w:pPr>
            <w:r>
              <w:t>Decision Trees</w:t>
            </w:r>
          </w:p>
        </w:tc>
      </w:tr>
      <w:tr w:rsidR="002D5F32" w14:paraId="5358A9A5" w14:textId="77777777" w:rsidTr="002D5F32">
        <w:tc>
          <w:tcPr>
            <w:cnfStyle w:val="001000000000" w:firstRow="0" w:lastRow="0" w:firstColumn="1" w:lastColumn="0" w:oddVBand="0" w:evenVBand="0" w:oddHBand="0" w:evenHBand="0" w:firstRowFirstColumn="0" w:firstRowLastColumn="0" w:lastRowFirstColumn="0" w:lastRowLastColumn="0"/>
            <w:tcW w:w="3005" w:type="dxa"/>
          </w:tcPr>
          <w:p w14:paraId="4657E794" w14:textId="77777777" w:rsidR="002D5F32" w:rsidRDefault="002D5F32" w:rsidP="002D5F32">
            <w:r>
              <w:t>BPL</w:t>
            </w:r>
          </w:p>
        </w:tc>
        <w:tc>
          <w:tcPr>
            <w:tcW w:w="3005" w:type="dxa"/>
          </w:tcPr>
          <w:p w14:paraId="355BE797" w14:textId="77777777" w:rsidR="002D5F32" w:rsidRDefault="002D5F32" w:rsidP="002D5F32">
            <w:pPr>
              <w:cnfStyle w:val="000000000000" w:firstRow="0" w:lastRow="0" w:firstColumn="0" w:lastColumn="0" w:oddVBand="0" w:evenVBand="0" w:oddHBand="0" w:evenHBand="0" w:firstRowFirstColumn="0" w:firstRowLastColumn="0" w:lastRowFirstColumn="0" w:lastRowLastColumn="0"/>
            </w:pPr>
            <w:r>
              <w:t>87.30%</w:t>
            </w:r>
          </w:p>
        </w:tc>
        <w:tc>
          <w:tcPr>
            <w:tcW w:w="3006" w:type="dxa"/>
          </w:tcPr>
          <w:p w14:paraId="21D068FE" w14:textId="77777777" w:rsidR="002D5F32" w:rsidRDefault="002D5F32" w:rsidP="002D5F32">
            <w:pPr>
              <w:cnfStyle w:val="000000000000" w:firstRow="0" w:lastRow="0" w:firstColumn="0" w:lastColumn="0" w:oddVBand="0" w:evenVBand="0" w:oddHBand="0" w:evenHBand="0" w:firstRowFirstColumn="0" w:firstRowLastColumn="0" w:lastRowFirstColumn="0" w:lastRowLastColumn="0"/>
            </w:pPr>
            <w:r>
              <w:t>47.44%</w:t>
            </w:r>
          </w:p>
        </w:tc>
      </w:tr>
      <w:tr w:rsidR="002D5F32" w14:paraId="788852AD" w14:textId="77777777" w:rsidTr="002D5F32">
        <w:tc>
          <w:tcPr>
            <w:cnfStyle w:val="001000000000" w:firstRow="0" w:lastRow="0" w:firstColumn="1" w:lastColumn="0" w:oddVBand="0" w:evenVBand="0" w:oddHBand="0" w:evenHBand="0" w:firstRowFirstColumn="0" w:firstRowLastColumn="0" w:lastRowFirstColumn="0" w:lastRowLastColumn="0"/>
            <w:tcW w:w="3005" w:type="dxa"/>
          </w:tcPr>
          <w:p w14:paraId="0B7102D3" w14:textId="77777777" w:rsidR="002D5F32" w:rsidRDefault="002D5F32" w:rsidP="002D5F32">
            <w:r>
              <w:t>Serie A</w:t>
            </w:r>
          </w:p>
        </w:tc>
        <w:tc>
          <w:tcPr>
            <w:tcW w:w="3005" w:type="dxa"/>
          </w:tcPr>
          <w:p w14:paraId="09861101" w14:textId="77777777" w:rsidR="002D5F32" w:rsidRDefault="002D5F32" w:rsidP="002D5F32">
            <w:pPr>
              <w:cnfStyle w:val="000000000000" w:firstRow="0" w:lastRow="0" w:firstColumn="0" w:lastColumn="0" w:oddVBand="0" w:evenVBand="0" w:oddHBand="0" w:evenHBand="0" w:firstRowFirstColumn="0" w:firstRowLastColumn="0" w:lastRowFirstColumn="0" w:lastRowLastColumn="0"/>
            </w:pPr>
            <w:r>
              <w:t>87.10%</w:t>
            </w:r>
          </w:p>
        </w:tc>
        <w:tc>
          <w:tcPr>
            <w:tcW w:w="3006" w:type="dxa"/>
          </w:tcPr>
          <w:p w14:paraId="7746F740" w14:textId="77777777" w:rsidR="002D5F32" w:rsidRDefault="002D5F32" w:rsidP="002D5F32">
            <w:pPr>
              <w:cnfStyle w:val="000000000000" w:firstRow="0" w:lastRow="0" w:firstColumn="0" w:lastColumn="0" w:oddVBand="0" w:evenVBand="0" w:oddHBand="0" w:evenHBand="0" w:firstRowFirstColumn="0" w:firstRowLastColumn="0" w:lastRowFirstColumn="0" w:lastRowLastColumn="0"/>
            </w:pPr>
            <w:r>
              <w:t>46.59%</w:t>
            </w:r>
          </w:p>
        </w:tc>
      </w:tr>
      <w:tr w:rsidR="002D5F32" w14:paraId="520DDBCE" w14:textId="77777777" w:rsidTr="002D5F32">
        <w:tc>
          <w:tcPr>
            <w:cnfStyle w:val="001000000000" w:firstRow="0" w:lastRow="0" w:firstColumn="1" w:lastColumn="0" w:oddVBand="0" w:evenVBand="0" w:oddHBand="0" w:evenHBand="0" w:firstRowFirstColumn="0" w:firstRowLastColumn="0" w:lastRowFirstColumn="0" w:lastRowLastColumn="0"/>
            <w:tcW w:w="3005" w:type="dxa"/>
          </w:tcPr>
          <w:p w14:paraId="20D89D94" w14:textId="77777777" w:rsidR="002D5F32" w:rsidRDefault="002D5F32" w:rsidP="002D5F32">
            <w:r>
              <w:t>Bundesliga</w:t>
            </w:r>
          </w:p>
        </w:tc>
        <w:tc>
          <w:tcPr>
            <w:tcW w:w="3005" w:type="dxa"/>
          </w:tcPr>
          <w:p w14:paraId="3121EB71" w14:textId="77777777" w:rsidR="002D5F32" w:rsidRDefault="002D5F32" w:rsidP="002D5F32">
            <w:pPr>
              <w:cnfStyle w:val="000000000000" w:firstRow="0" w:lastRow="0" w:firstColumn="0" w:lastColumn="0" w:oddVBand="0" w:evenVBand="0" w:oddHBand="0" w:evenHBand="0" w:firstRowFirstColumn="0" w:firstRowLastColumn="0" w:lastRowFirstColumn="0" w:lastRowLastColumn="0"/>
            </w:pPr>
            <w:r>
              <w:t>88.95%</w:t>
            </w:r>
          </w:p>
        </w:tc>
        <w:tc>
          <w:tcPr>
            <w:tcW w:w="3006" w:type="dxa"/>
          </w:tcPr>
          <w:p w14:paraId="7D521C1F" w14:textId="77777777" w:rsidR="002D5F32" w:rsidRDefault="002D5F32" w:rsidP="002D5F32">
            <w:pPr>
              <w:cnfStyle w:val="000000000000" w:firstRow="0" w:lastRow="0" w:firstColumn="0" w:lastColumn="0" w:oddVBand="0" w:evenVBand="0" w:oddHBand="0" w:evenHBand="0" w:firstRowFirstColumn="0" w:firstRowLastColumn="0" w:lastRowFirstColumn="0" w:lastRowLastColumn="0"/>
            </w:pPr>
            <w:r>
              <w:t>43.33%</w:t>
            </w:r>
          </w:p>
        </w:tc>
      </w:tr>
      <w:tr w:rsidR="002D5F32" w14:paraId="55439AFA" w14:textId="77777777" w:rsidTr="002D5F32">
        <w:tc>
          <w:tcPr>
            <w:cnfStyle w:val="001000000000" w:firstRow="0" w:lastRow="0" w:firstColumn="1" w:lastColumn="0" w:oddVBand="0" w:evenVBand="0" w:oddHBand="0" w:evenHBand="0" w:firstRowFirstColumn="0" w:firstRowLastColumn="0" w:lastRowFirstColumn="0" w:lastRowLastColumn="0"/>
            <w:tcW w:w="3005" w:type="dxa"/>
          </w:tcPr>
          <w:p w14:paraId="78B64221" w14:textId="77777777" w:rsidR="002D5F32" w:rsidRDefault="002D5F32" w:rsidP="002D5F32">
            <w:r>
              <w:t>Ligue 1</w:t>
            </w:r>
          </w:p>
        </w:tc>
        <w:tc>
          <w:tcPr>
            <w:tcW w:w="3005" w:type="dxa"/>
          </w:tcPr>
          <w:p w14:paraId="0313D318" w14:textId="77777777" w:rsidR="002D5F32" w:rsidRDefault="002D5F32" w:rsidP="002D5F32">
            <w:pPr>
              <w:cnfStyle w:val="000000000000" w:firstRow="0" w:lastRow="0" w:firstColumn="0" w:lastColumn="0" w:oddVBand="0" w:evenVBand="0" w:oddHBand="0" w:evenHBand="0" w:firstRowFirstColumn="0" w:firstRowLastColumn="0" w:lastRowFirstColumn="0" w:lastRowLastColumn="0"/>
            </w:pPr>
            <w:r>
              <w:t>85.55%</w:t>
            </w:r>
          </w:p>
        </w:tc>
        <w:tc>
          <w:tcPr>
            <w:tcW w:w="3006" w:type="dxa"/>
          </w:tcPr>
          <w:p w14:paraId="2A95F0CC" w14:textId="77777777" w:rsidR="002D5F32" w:rsidRDefault="002D5F32" w:rsidP="002D5F32">
            <w:pPr>
              <w:cnfStyle w:val="000000000000" w:firstRow="0" w:lastRow="0" w:firstColumn="0" w:lastColumn="0" w:oddVBand="0" w:evenVBand="0" w:oddHBand="0" w:evenHBand="0" w:firstRowFirstColumn="0" w:firstRowLastColumn="0" w:lastRowFirstColumn="0" w:lastRowLastColumn="0"/>
            </w:pPr>
            <w:r>
              <w:t>42.43%</w:t>
            </w:r>
          </w:p>
        </w:tc>
      </w:tr>
      <w:tr w:rsidR="002D5F32" w14:paraId="4E7EA389" w14:textId="77777777" w:rsidTr="002D5F32">
        <w:tc>
          <w:tcPr>
            <w:cnfStyle w:val="001000000000" w:firstRow="0" w:lastRow="0" w:firstColumn="1" w:lastColumn="0" w:oddVBand="0" w:evenVBand="0" w:oddHBand="0" w:evenHBand="0" w:firstRowFirstColumn="0" w:firstRowLastColumn="0" w:lastRowFirstColumn="0" w:lastRowLastColumn="0"/>
            <w:tcW w:w="3005" w:type="dxa"/>
          </w:tcPr>
          <w:p w14:paraId="1D9D43A3" w14:textId="77777777" w:rsidR="002D5F32" w:rsidRDefault="002D5F32" w:rsidP="002D5F32">
            <w:r>
              <w:t>La Liga</w:t>
            </w:r>
          </w:p>
        </w:tc>
        <w:tc>
          <w:tcPr>
            <w:tcW w:w="3005" w:type="dxa"/>
          </w:tcPr>
          <w:p w14:paraId="35387D63" w14:textId="77777777" w:rsidR="002D5F32" w:rsidRDefault="002D5F32" w:rsidP="002D5F32">
            <w:pPr>
              <w:cnfStyle w:val="000000000000" w:firstRow="0" w:lastRow="0" w:firstColumn="0" w:lastColumn="0" w:oddVBand="0" w:evenVBand="0" w:oddHBand="0" w:evenHBand="0" w:firstRowFirstColumn="0" w:firstRowLastColumn="0" w:lastRowFirstColumn="0" w:lastRowLastColumn="0"/>
            </w:pPr>
            <w:r>
              <w:t>86.74%</w:t>
            </w:r>
          </w:p>
        </w:tc>
        <w:tc>
          <w:tcPr>
            <w:tcW w:w="3006" w:type="dxa"/>
          </w:tcPr>
          <w:p w14:paraId="532F0925" w14:textId="77777777" w:rsidR="002D5F32" w:rsidRDefault="002D5F32" w:rsidP="002D5F32">
            <w:pPr>
              <w:cnfStyle w:val="000000000000" w:firstRow="0" w:lastRow="0" w:firstColumn="0" w:lastColumn="0" w:oddVBand="0" w:evenVBand="0" w:oddHBand="0" w:evenHBand="0" w:firstRowFirstColumn="0" w:firstRowLastColumn="0" w:lastRowFirstColumn="0" w:lastRowLastColumn="0"/>
            </w:pPr>
            <w:r>
              <w:t>45.94%</w:t>
            </w:r>
          </w:p>
        </w:tc>
      </w:tr>
    </w:tbl>
    <w:p w14:paraId="7BAA7BEC" w14:textId="77777777" w:rsidR="002D5F32" w:rsidRDefault="002D5F32" w:rsidP="000F0001">
      <w:pPr>
        <w:jc w:val="both"/>
      </w:pPr>
    </w:p>
    <w:p w14:paraId="03BE5C1F" w14:textId="218E23C0" w:rsidR="002B6AD6" w:rsidRPr="00006440" w:rsidRDefault="00006440" w:rsidP="00006440">
      <w:pPr>
        <w:rPr>
          <w:rFonts w:asciiTheme="majorHAnsi" w:eastAsiaTheme="majorEastAsia" w:hAnsiTheme="majorHAnsi" w:cstheme="majorBidi"/>
          <w:color w:val="2F5496" w:themeColor="accent1" w:themeShade="BF"/>
          <w:sz w:val="26"/>
          <w:szCs w:val="26"/>
        </w:rPr>
      </w:pPr>
      <w:r>
        <w:br w:type="page"/>
      </w:r>
    </w:p>
    <w:p w14:paraId="4B4BD01B" w14:textId="0CF682EA" w:rsidR="002B6AD6" w:rsidRDefault="002B6AD6" w:rsidP="002B6AD6">
      <w:pPr>
        <w:pStyle w:val="Heading2"/>
      </w:pPr>
      <w:r>
        <w:lastRenderedPageBreak/>
        <w:t>Performance of odds has been consistent throughout the years</w:t>
      </w:r>
    </w:p>
    <w:p w14:paraId="759655DF" w14:textId="4F4DA85D" w:rsidR="00006440" w:rsidRPr="002B6AD6" w:rsidRDefault="00006440" w:rsidP="002B6AD6">
      <w:r>
        <w:tab/>
      </w:r>
      <w:r>
        <w:tab/>
      </w:r>
    </w:p>
    <w:p w14:paraId="6720338E" w14:textId="1C9FFA1E" w:rsidR="002B6AD6" w:rsidRDefault="002B6AD6" w:rsidP="002B6AD6">
      <w:pPr>
        <w:jc w:val="center"/>
      </w:pPr>
      <w:r>
        <w:rPr>
          <w:noProof/>
        </w:rPr>
        <w:drawing>
          <wp:inline distT="0" distB="0" distL="0" distR="0" wp14:anchorId="724D8F82" wp14:editId="22BCC917">
            <wp:extent cx="4572000" cy="2324100"/>
            <wp:effectExtent l="0" t="0" r="0" b="0"/>
            <wp:docPr id="2" name="Chart 2">
              <a:extLst xmlns:a="http://schemas.openxmlformats.org/drawingml/2006/main">
                <a:ext uri="{FF2B5EF4-FFF2-40B4-BE49-F238E27FC236}">
                  <a16:creationId xmlns:a16="http://schemas.microsoft.com/office/drawing/2014/main" id="{C4C3DABA-D8E1-4CD3-9167-30A53D83F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04B0414" w14:textId="58E39DC5" w:rsidR="002B6AD6" w:rsidRDefault="00006440" w:rsidP="002B6AD6">
      <w:pPr>
        <w:rPr>
          <w:i/>
        </w:rPr>
      </w:pPr>
      <w:r w:rsidRPr="00006440">
        <w:rPr>
          <w:i/>
        </w:rPr>
        <w:t xml:space="preserve">Fig 2. </w:t>
      </w:r>
    </w:p>
    <w:p w14:paraId="2F287572" w14:textId="77777777" w:rsidR="00E627F4" w:rsidRDefault="00E627F4" w:rsidP="002B6AD6">
      <w:pPr>
        <w:rPr>
          <w:i/>
        </w:rPr>
      </w:pPr>
    </w:p>
    <w:p w14:paraId="3E5DB6B5" w14:textId="7F1F08E9" w:rsidR="00E627F4" w:rsidRDefault="00006440" w:rsidP="000B02FE">
      <w:pPr>
        <w:jc w:val="both"/>
      </w:pPr>
      <w:r>
        <w:t xml:space="preserve">The above figure (Fig 2.)  illustrates the results obtained by the Neural Network, each season, for each of the domestic league included within the study. For the first few years results obtained </w:t>
      </w:r>
      <w:r w:rsidR="000B02FE">
        <w:t xml:space="preserve">inconsistent, and there were discrepancies between leagues. In the first season the highest percentage was of 64.5% correctly predicted matches in the English Premier League (BPL in Fig 2.), while the worst percentage (38.62%) was obtained on the Spanish La Liga, creating a gap of nearly 26% between the best and worst percentage. However, from the season of 2004-2005 these discrepancies are minimal. As can be seen from the figure the percentage of correctly predicted matches from the </w:t>
      </w:r>
      <w:r w:rsidR="00CC1EE2">
        <w:t>2004 – 2005 season rarely go below the 90% for any league included. This illustrates that the predictive qualities of odds provided by betting companies has been consistent throughout the last 14 years. Such result is consi</w:t>
      </w:r>
      <w:r w:rsidR="005465AB">
        <w:t xml:space="preserve">stent with the statement made by </w:t>
      </w:r>
      <w:r w:rsidR="005465AB" w:rsidRPr="00BB67B5">
        <w:rPr>
          <w:i/>
        </w:rPr>
        <w:t>(Constantinou and Fenton, 2013)</w:t>
      </w:r>
      <w:r w:rsidR="005465AB">
        <w:rPr>
          <w:i/>
        </w:rPr>
        <w:t xml:space="preserve">, </w:t>
      </w:r>
      <w:r w:rsidR="005465AB" w:rsidRPr="005465AB">
        <w:t>who state th</w:t>
      </w:r>
      <w:r w:rsidR="005465AB">
        <w:t>at ability of odds has seen no improvement over the years.</w:t>
      </w:r>
    </w:p>
    <w:p w14:paraId="599967FE" w14:textId="61BF3525" w:rsidR="005465AB" w:rsidRDefault="00E627F4" w:rsidP="00E627F4">
      <w:r>
        <w:br w:type="page"/>
      </w:r>
    </w:p>
    <w:p w14:paraId="04AD8297" w14:textId="6C66637B" w:rsidR="005465AB" w:rsidRPr="002B6AD6" w:rsidRDefault="005465AB" w:rsidP="005465AB">
      <w:pPr>
        <w:pStyle w:val="Heading2"/>
      </w:pPr>
      <w:r>
        <w:lastRenderedPageBreak/>
        <w:t>Bookmakers are not equally effective</w:t>
      </w:r>
      <w:r w:rsidR="00E627F4">
        <w:t xml:space="preserve"> nor are they equally effective </w:t>
      </w:r>
      <w:r>
        <w:t>in different Leagues</w:t>
      </w:r>
      <w:r>
        <w:tab/>
      </w:r>
    </w:p>
    <w:p w14:paraId="38C1587F" w14:textId="6C6CC54B" w:rsidR="005465AB" w:rsidRDefault="005465AB" w:rsidP="005465AB"/>
    <w:p w14:paraId="23D9C130" w14:textId="66D185F3" w:rsidR="005465AB" w:rsidRDefault="00E627F4" w:rsidP="005465AB">
      <w:pPr>
        <w:jc w:val="center"/>
      </w:pPr>
      <w:r>
        <w:rPr>
          <w:noProof/>
        </w:rPr>
        <w:drawing>
          <wp:inline distT="0" distB="0" distL="0" distR="0" wp14:anchorId="160D2FF3" wp14:editId="5D44C2B3">
            <wp:extent cx="3657600" cy="1952625"/>
            <wp:effectExtent l="0" t="0" r="0" b="9525"/>
            <wp:docPr id="4" name="Chart 4">
              <a:extLst xmlns:a="http://schemas.openxmlformats.org/drawingml/2006/main">
                <a:ext uri="{FF2B5EF4-FFF2-40B4-BE49-F238E27FC236}">
                  <a16:creationId xmlns:a16="http://schemas.microsoft.com/office/drawing/2014/main" id="{AB7D3246-4CC5-477F-8887-DBC43D131C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1661543" w14:textId="2C10977E" w:rsidR="005465AB" w:rsidRDefault="00E627F4" w:rsidP="005465AB">
      <w:r>
        <w:t>Fig 3.</w:t>
      </w:r>
    </w:p>
    <w:p w14:paraId="77055515" w14:textId="46C30007" w:rsidR="00483A15" w:rsidRDefault="00E627F4" w:rsidP="00680E41">
      <w:pPr>
        <w:autoSpaceDE w:val="0"/>
        <w:autoSpaceDN w:val="0"/>
        <w:adjustRightInd w:val="0"/>
        <w:spacing w:after="0" w:line="240" w:lineRule="auto"/>
        <w:jc w:val="both"/>
      </w:pPr>
      <w:r>
        <w:t xml:space="preserve">In the figure above, the </w:t>
      </w:r>
      <w:r w:rsidR="00C3618E">
        <w:t xml:space="preserve">average </w:t>
      </w:r>
      <w:r>
        <w:t>performance of the odds provided by each of the companies on each of the leagues involves are illustrated</w:t>
      </w:r>
      <w:r w:rsidR="00C3618E">
        <w:t xml:space="preserve"> throughout the years</w:t>
      </w:r>
      <w:r>
        <w:t xml:space="preserve">. From this figure it is notable that bookmakers are not equally effective. </w:t>
      </w:r>
      <w:r w:rsidR="00483A15">
        <w:t>Since there was a lack of data on the odds provided by comp</w:t>
      </w:r>
      <w:r w:rsidR="00C3618E">
        <w:t xml:space="preserve"> 8 (</w:t>
      </w:r>
      <w:r w:rsidR="00680E41">
        <w:t>Data was only available for a single season</w:t>
      </w:r>
      <w:r w:rsidR="00C3618E">
        <w:t>)</w:t>
      </w:r>
      <w:r w:rsidR="00483A15">
        <w:t xml:space="preserve">, for this scenario comp 8 was removed from Fig 4.  Although odds provided by each of the companies in Fig 4., </w:t>
      </w:r>
      <w:r w:rsidR="00C3618E">
        <w:t xml:space="preserve">it is visible that comp2, 7 and 10 produce more accurate bets while companies 3 – 6 and 9 produce slightly inferior (less accurate) odds on average. While companies 2,7 and 10 produce odds that on average are 90%+ accurate, companies 3 – 6 do not achieve this percentage in any of the league while company 9 achieves 90.44% only on the Bundesliga. </w:t>
      </w:r>
      <w:proofErr w:type="gramStart"/>
      <w:r w:rsidR="00C3618E">
        <w:t>I</w:t>
      </w:r>
      <w:r w:rsidR="00C3618E" w:rsidRPr="00C3618E">
        <w:t>n spite of the fact that</w:t>
      </w:r>
      <w:proofErr w:type="gramEnd"/>
      <w:r w:rsidR="00C3618E">
        <w:t xml:space="preserve"> Company 1 goes slightly over 90% on three of the leagues; percentile is still inferior to that of companies 3,7 and 10. This suggests that not all companies produce equally effective </w:t>
      </w:r>
      <w:r w:rsidR="00680E41">
        <w:t xml:space="preserve">odds. This finding is agreement with the statement made by </w:t>
      </w:r>
      <w:r w:rsidR="00680E41" w:rsidRPr="00BB67B5">
        <w:rPr>
          <w:i/>
        </w:rPr>
        <w:t>(</w:t>
      </w:r>
      <w:proofErr w:type="spellStart"/>
      <w:r w:rsidR="00680E41" w:rsidRPr="00BB67B5">
        <w:rPr>
          <w:i/>
        </w:rPr>
        <w:t>Štrumbelj</w:t>
      </w:r>
      <w:proofErr w:type="spellEnd"/>
      <w:r w:rsidR="00680E41" w:rsidRPr="00BB67B5">
        <w:rPr>
          <w:i/>
        </w:rPr>
        <w:t xml:space="preserve"> and </w:t>
      </w:r>
      <w:proofErr w:type="spellStart"/>
      <w:r w:rsidR="00680E41" w:rsidRPr="00BB67B5">
        <w:rPr>
          <w:i/>
        </w:rPr>
        <w:t>Šikonja</w:t>
      </w:r>
      <w:proofErr w:type="spellEnd"/>
      <w:r w:rsidR="00680E41" w:rsidRPr="00BB67B5">
        <w:rPr>
          <w:i/>
        </w:rPr>
        <w:t>, 2010)</w:t>
      </w:r>
      <w:r w:rsidR="00680E41">
        <w:rPr>
          <w:i/>
        </w:rPr>
        <w:t xml:space="preserve"> </w:t>
      </w:r>
      <w:r w:rsidR="00680E41">
        <w:t xml:space="preserve">where they highlighted how </w:t>
      </w:r>
      <w:r w:rsidR="00680E41" w:rsidRPr="00680E41">
        <w:t xml:space="preserve">the </w:t>
      </w:r>
      <w:proofErr w:type="gramStart"/>
      <w:r w:rsidR="00E47FE0" w:rsidRPr="00680E41">
        <w:t>results</w:t>
      </w:r>
      <w:proofErr w:type="gramEnd"/>
      <w:r w:rsidR="00E47FE0">
        <w:t xml:space="preserve"> </w:t>
      </w:r>
      <w:r w:rsidR="00680E41" w:rsidRPr="00680E41">
        <w:t xml:space="preserve">they obtained </w:t>
      </w:r>
      <w:r w:rsidR="00E47FE0">
        <w:t>revealed that odds in some leagues act as better forecasts than odds on other leagues.</w:t>
      </w:r>
    </w:p>
    <w:p w14:paraId="41E4D60C" w14:textId="02F46B78" w:rsidR="00E47FE0" w:rsidRDefault="00E47FE0" w:rsidP="00680E41">
      <w:pPr>
        <w:autoSpaceDE w:val="0"/>
        <w:autoSpaceDN w:val="0"/>
        <w:adjustRightInd w:val="0"/>
        <w:spacing w:after="0" w:line="240" w:lineRule="auto"/>
        <w:jc w:val="both"/>
      </w:pPr>
    </w:p>
    <w:p w14:paraId="75CB9DA7" w14:textId="6A3C9B3D" w:rsidR="00E47FE0" w:rsidRDefault="00E47FE0" w:rsidP="00680E41">
      <w:pPr>
        <w:autoSpaceDE w:val="0"/>
        <w:autoSpaceDN w:val="0"/>
        <w:adjustRightInd w:val="0"/>
        <w:spacing w:after="0" w:line="240" w:lineRule="auto"/>
        <w:jc w:val="both"/>
        <w:rPr>
          <w:rFonts w:cs="NimbusRomNo9L-Regu"/>
        </w:rPr>
      </w:pPr>
      <w:r>
        <w:t>Discrepancies can be seen on the percentage obtained by a single company on the different leagues.</w:t>
      </w:r>
      <w:r w:rsidR="00BE421D">
        <w:t xml:space="preserve"> For example, company 6 had an average percentage of 86.82% correctly predicted matches on odds provided on the Bundesliga but an average of 82.21% on odds on Ligue 1. These discrepancies can between the percentages can be seen in the results obtained by each company. This result suggests that odds of a singular company are not equally effective amongst the different leagues.</w:t>
      </w:r>
    </w:p>
    <w:p w14:paraId="71095090" w14:textId="77777777" w:rsidR="00680E41" w:rsidRPr="00680E41" w:rsidRDefault="00680E41" w:rsidP="00680E41">
      <w:pPr>
        <w:autoSpaceDE w:val="0"/>
        <w:autoSpaceDN w:val="0"/>
        <w:adjustRightInd w:val="0"/>
        <w:spacing w:after="0" w:line="240" w:lineRule="auto"/>
        <w:jc w:val="both"/>
        <w:rPr>
          <w:rFonts w:ascii="NimbusRomNo9L-Regu" w:hAnsi="NimbusRomNo9L-Regu" w:cs="NimbusRomNo9L-Regu"/>
        </w:rPr>
      </w:pPr>
    </w:p>
    <w:p w14:paraId="4CA30386" w14:textId="1D3A25E0" w:rsidR="00483A15" w:rsidRDefault="00483A15" w:rsidP="00483A15">
      <w:pPr>
        <w:jc w:val="center"/>
      </w:pPr>
      <w:r>
        <w:rPr>
          <w:noProof/>
        </w:rPr>
        <w:drawing>
          <wp:inline distT="0" distB="0" distL="0" distR="0" wp14:anchorId="5ACBCA74" wp14:editId="06D52EE3">
            <wp:extent cx="3990975" cy="1943100"/>
            <wp:effectExtent l="0" t="0" r="9525" b="0"/>
            <wp:docPr id="5" name="Chart 5">
              <a:extLst xmlns:a="http://schemas.openxmlformats.org/drawingml/2006/main">
                <a:ext uri="{FF2B5EF4-FFF2-40B4-BE49-F238E27FC236}">
                  <a16:creationId xmlns:a16="http://schemas.microsoft.com/office/drawing/2014/main" id="{6D003D71-B178-4259-8A3C-DE08204F3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9B61559" w14:textId="0FE37ED0" w:rsidR="005465AB" w:rsidRDefault="00483A15" w:rsidP="00C3618E">
      <w:r>
        <w:t>Fig 4.</w:t>
      </w:r>
    </w:p>
    <w:p w14:paraId="2584B0CE" w14:textId="77777777" w:rsidR="00C3618E" w:rsidRDefault="00C3618E" w:rsidP="00C3618E"/>
    <w:p w14:paraId="0FADC6BE" w14:textId="003FC6B1" w:rsidR="006F1CBD" w:rsidRDefault="006F1CBD" w:rsidP="006F1CBD">
      <w:pPr>
        <w:pStyle w:val="Heading2"/>
      </w:pPr>
      <w:r>
        <w:t>Odds on the French Ligue 1 perform the worst.</w:t>
      </w:r>
    </w:p>
    <w:p w14:paraId="39D9E058" w14:textId="6FA7A531" w:rsidR="006F1CBD" w:rsidRDefault="006F1CBD" w:rsidP="000F0001">
      <w:pPr>
        <w:jc w:val="both"/>
      </w:pPr>
    </w:p>
    <w:p w14:paraId="0D794748" w14:textId="50A0D26F" w:rsidR="002D5F32" w:rsidRPr="0091493A" w:rsidRDefault="002D5F32" w:rsidP="002D5F32">
      <w:pPr>
        <w:jc w:val="center"/>
      </w:pPr>
      <w:r>
        <w:rPr>
          <w:noProof/>
        </w:rPr>
        <w:drawing>
          <wp:inline distT="0" distB="0" distL="0" distR="0" wp14:anchorId="44B5DBBE" wp14:editId="4CEBAF3D">
            <wp:extent cx="3895725" cy="1885950"/>
            <wp:effectExtent l="0" t="0" r="9525" b="0"/>
            <wp:docPr id="1" name="Chart 1">
              <a:extLst xmlns:a="http://schemas.openxmlformats.org/drawingml/2006/main">
                <a:ext uri="{FF2B5EF4-FFF2-40B4-BE49-F238E27FC236}">
                  <a16:creationId xmlns:a16="http://schemas.microsoft.com/office/drawing/2014/main" id="{3B8BFD2A-8000-4158-ACD8-756AC85F6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2622A8" w14:textId="6972683D" w:rsidR="00BE421D" w:rsidRDefault="005465AB" w:rsidP="000F0001">
      <w:pPr>
        <w:jc w:val="both"/>
      </w:pPr>
      <w:r>
        <w:t xml:space="preserve">Fig </w:t>
      </w:r>
      <w:r w:rsidR="007F4544">
        <w:t>5</w:t>
      </w:r>
      <w:r>
        <w:t xml:space="preserve">. </w:t>
      </w:r>
    </w:p>
    <w:p w14:paraId="6CCC2206" w14:textId="02C88AB8" w:rsidR="00BE421D" w:rsidRDefault="00042F5A" w:rsidP="00974DBF">
      <w:pPr>
        <w:jc w:val="both"/>
      </w:pPr>
      <w:r>
        <w:t xml:space="preserve">Fig 5. Is a graph of the results obtained from Fig 1. Fig 5 shows the average percentages of correctly predicted results in each of the leagues. </w:t>
      </w:r>
      <w:r w:rsidR="0082259D">
        <w:t xml:space="preserve">As discussed above, odds perform differently in different leagues. The quality of the teams within the league can determine the performance of the odds. If a league has teams of equal quality than </w:t>
      </w:r>
      <w:r w:rsidR="00974DBF">
        <w:t xml:space="preserve">results will be harder to predict, whilst if a league has teams of unequal qualities these can make </w:t>
      </w:r>
      <w:proofErr w:type="gramStart"/>
      <w:r w:rsidR="00974DBF">
        <w:t>the end result</w:t>
      </w:r>
      <w:proofErr w:type="gramEnd"/>
      <w:r w:rsidR="00974DBF">
        <w:t xml:space="preserve"> more predictable. From Fig 5. </w:t>
      </w:r>
      <w:proofErr w:type="gramStart"/>
      <w:r w:rsidR="00974DBF">
        <w:t>It can be seen that the</w:t>
      </w:r>
      <w:proofErr w:type="gramEnd"/>
      <w:r w:rsidR="00974DBF">
        <w:t xml:space="preserve"> French League (Ligue 1) has the lowest percentage, both with Neural Networks and with Decision Trees. From this result it can be said that odds on Ligue 1 perform the worst when </w:t>
      </w:r>
      <w:proofErr w:type="spellStart"/>
      <w:r w:rsidR="00974DBF">
        <w:t>compaed</w:t>
      </w:r>
      <w:proofErr w:type="spellEnd"/>
      <w:r w:rsidR="00974DBF">
        <w:t xml:space="preserve"> to other leagues. This </w:t>
      </w:r>
      <w:proofErr w:type="gramStart"/>
      <w:r w:rsidR="00974DBF">
        <w:t>is in agreement</w:t>
      </w:r>
      <w:proofErr w:type="gramEnd"/>
      <w:r w:rsidR="00974DBF">
        <w:t xml:space="preserve"> with the findings presented by </w:t>
      </w:r>
      <w:proofErr w:type="spellStart"/>
      <w:r w:rsidR="00974DBF">
        <w:t>by</w:t>
      </w:r>
      <w:proofErr w:type="spellEnd"/>
      <w:r w:rsidR="00974DBF">
        <w:t xml:space="preserve"> </w:t>
      </w:r>
      <w:r w:rsidR="00974DBF" w:rsidRPr="00BB67B5">
        <w:rPr>
          <w:i/>
        </w:rPr>
        <w:t>(</w:t>
      </w:r>
      <w:proofErr w:type="spellStart"/>
      <w:r w:rsidR="00974DBF" w:rsidRPr="00BB67B5">
        <w:rPr>
          <w:i/>
        </w:rPr>
        <w:t>Štrumbelj</w:t>
      </w:r>
      <w:proofErr w:type="spellEnd"/>
      <w:r w:rsidR="00974DBF" w:rsidRPr="00BB67B5">
        <w:rPr>
          <w:i/>
        </w:rPr>
        <w:t xml:space="preserve"> and </w:t>
      </w:r>
      <w:proofErr w:type="spellStart"/>
      <w:r w:rsidR="00974DBF" w:rsidRPr="00BB67B5">
        <w:rPr>
          <w:i/>
        </w:rPr>
        <w:t>Šikonja</w:t>
      </w:r>
      <w:proofErr w:type="spellEnd"/>
      <w:r w:rsidR="00974DBF" w:rsidRPr="00BB67B5">
        <w:rPr>
          <w:i/>
        </w:rPr>
        <w:t>, 2010)</w:t>
      </w:r>
      <w:r w:rsidR="00974DBF">
        <w:rPr>
          <w:i/>
        </w:rPr>
        <w:t xml:space="preserve"> </w:t>
      </w:r>
      <w:r w:rsidR="00974DBF">
        <w:t>in their results stated that</w:t>
      </w:r>
      <w:r w:rsidR="008F61F4">
        <w:t xml:space="preserve"> odds offered on Ligue 1 performed the worst. They also highlighted how,</w:t>
      </w:r>
      <w:r w:rsidR="00974DBF">
        <w:t xml:space="preserve"> since the teams in Ligue 1 are more evenly matched, match outcomes are harder to predict.</w:t>
      </w:r>
    </w:p>
    <w:p w14:paraId="7FC3DFD1" w14:textId="1D59F506" w:rsidR="00CC59F6" w:rsidRDefault="00CC59F6">
      <w:r>
        <w:br w:type="page"/>
      </w:r>
    </w:p>
    <w:p w14:paraId="1F19A0CD" w14:textId="77777777" w:rsidR="006D09FF" w:rsidRDefault="006D09FF" w:rsidP="006D09FF"/>
    <w:p w14:paraId="2871AC93" w14:textId="6D8175E7" w:rsidR="008F61F4" w:rsidRDefault="008F61F4" w:rsidP="008F61F4">
      <w:pPr>
        <w:pStyle w:val="Heading1"/>
      </w:pPr>
      <w:r>
        <w:t xml:space="preserve">Draw Odds are relevant </w:t>
      </w:r>
    </w:p>
    <w:p w14:paraId="5998C105" w14:textId="528D94C6" w:rsidR="008F61F4" w:rsidRDefault="008F61F4" w:rsidP="008F61F4">
      <w:pPr>
        <w:jc w:val="both"/>
      </w:pPr>
    </w:p>
    <w:p w14:paraId="1C9145BA" w14:textId="4EF2482F" w:rsidR="008F61F4" w:rsidRDefault="008F61F4" w:rsidP="008F61F4">
      <w:pPr>
        <w:jc w:val="both"/>
        <w:rPr>
          <w:rFonts w:cstheme="minorHAnsi"/>
          <w:sz w:val="23"/>
          <w:szCs w:val="23"/>
        </w:rPr>
      </w:pPr>
      <w:r>
        <w:t xml:space="preserve">Football matches tend to be won by either participating sides, and a draw result is infrequent. Throughout this study odds on the three possible results were observed. When looking at the results obtained </w:t>
      </w:r>
      <w:r w:rsidR="00153247">
        <w:t xml:space="preserve">in </w:t>
      </w:r>
      <w:proofErr w:type="gramStart"/>
      <w:r w:rsidR="00153247">
        <w:t>both of the data</w:t>
      </w:r>
      <w:proofErr w:type="gramEnd"/>
      <w:r w:rsidR="00153247">
        <w:t xml:space="preserve"> mining techniques used, draw matches were also being correctly predicted. In almost all the cases odds on the draw result are the highest in price, thus meaning that the result in less probable. Throughout the results </w:t>
      </w:r>
      <w:r w:rsidR="00495E00">
        <w:t xml:space="preserve">outputted by the data mining techniques used, results that ended in the draw were correctly predicted as well. These results differ from the results provided by </w:t>
      </w:r>
      <w:r w:rsidR="00495E00" w:rsidRPr="001F6C7E">
        <w:rPr>
          <w:i/>
        </w:rPr>
        <w:t xml:space="preserve">(S. Mohammad </w:t>
      </w:r>
      <w:proofErr w:type="spellStart"/>
      <w:r w:rsidR="00495E00" w:rsidRPr="001F6C7E">
        <w:rPr>
          <w:i/>
        </w:rPr>
        <w:t>Arabzad</w:t>
      </w:r>
      <w:proofErr w:type="spellEnd"/>
      <w:r w:rsidR="00495E00" w:rsidRPr="001F6C7E">
        <w:rPr>
          <w:i/>
        </w:rPr>
        <w:t xml:space="preserve"> et al. 2014)</w:t>
      </w:r>
      <w:r w:rsidR="00CC59F6">
        <w:rPr>
          <w:i/>
        </w:rPr>
        <w:t xml:space="preserve">, </w:t>
      </w:r>
      <w:r w:rsidR="00CC59F6">
        <w:t xml:space="preserve">as in this study the Neural network did not manage to predict any draws. It also differs from the statement made by </w:t>
      </w:r>
      <w:r w:rsidR="00CC59F6" w:rsidRPr="00CB43B3">
        <w:rPr>
          <w:rFonts w:cstheme="minorHAnsi"/>
          <w:sz w:val="23"/>
          <w:szCs w:val="23"/>
        </w:rPr>
        <w:t>(</w:t>
      </w:r>
      <w:proofErr w:type="spellStart"/>
      <w:r w:rsidR="00CC59F6" w:rsidRPr="00CB43B3">
        <w:rPr>
          <w:rFonts w:cstheme="minorHAnsi"/>
          <w:sz w:val="23"/>
          <w:szCs w:val="23"/>
        </w:rPr>
        <w:t>Hvattum</w:t>
      </w:r>
      <w:proofErr w:type="spellEnd"/>
      <w:r w:rsidR="00CC59F6" w:rsidRPr="00CB43B3">
        <w:rPr>
          <w:rFonts w:cstheme="minorHAnsi"/>
          <w:sz w:val="23"/>
          <w:szCs w:val="23"/>
        </w:rPr>
        <w:t>, 201</w:t>
      </w:r>
      <w:r w:rsidR="00CC59F6">
        <w:rPr>
          <w:rFonts w:cstheme="minorHAnsi"/>
          <w:sz w:val="23"/>
          <w:szCs w:val="23"/>
        </w:rPr>
        <w:t>2</w:t>
      </w:r>
      <w:r w:rsidR="00CC59F6" w:rsidRPr="00CB43B3">
        <w:rPr>
          <w:rFonts w:cstheme="minorHAnsi"/>
          <w:sz w:val="23"/>
          <w:szCs w:val="23"/>
        </w:rPr>
        <w:t>)</w:t>
      </w:r>
      <w:r w:rsidR="00CC59F6">
        <w:rPr>
          <w:rFonts w:cstheme="minorHAnsi"/>
          <w:sz w:val="23"/>
          <w:szCs w:val="23"/>
        </w:rPr>
        <w:t xml:space="preserve">, who noted that </w:t>
      </w:r>
      <w:r w:rsidR="00CC59F6" w:rsidRPr="00CC59F6">
        <w:rPr>
          <w:rFonts w:cstheme="minorHAnsi"/>
          <w:sz w:val="23"/>
          <w:szCs w:val="23"/>
        </w:rPr>
        <w:t>odds on the draw outcome have no noteworthy predictive properties</w:t>
      </w:r>
      <w:r w:rsidR="00CC59F6">
        <w:rPr>
          <w:rFonts w:cstheme="minorHAnsi"/>
          <w:sz w:val="23"/>
          <w:szCs w:val="23"/>
        </w:rPr>
        <w:t xml:space="preserve">. </w:t>
      </w:r>
      <w:r w:rsidR="00164DD3">
        <w:rPr>
          <w:rFonts w:cstheme="minorHAnsi"/>
          <w:sz w:val="23"/>
          <w:szCs w:val="23"/>
        </w:rPr>
        <w:t>Figure 6 and 7 are an example of the output provided by both data mining techniques. Fig 6 represents output of a decision tree on Ligue 1 of season 2010-2011, while figure 7 represent the output of the same league and season by a neural network.</w:t>
      </w:r>
      <w:r w:rsidR="00730F6F">
        <w:rPr>
          <w:rFonts w:cstheme="minorHAnsi"/>
          <w:sz w:val="23"/>
          <w:szCs w:val="23"/>
        </w:rPr>
        <w:t xml:space="preserve"> Green boxes indicate the correctly predicted outcomes</w:t>
      </w:r>
    </w:p>
    <w:p w14:paraId="3FC80EDD" w14:textId="78EEFB50" w:rsidR="00730F6F" w:rsidRDefault="00730F6F" w:rsidP="008F61F4">
      <w:pPr>
        <w:jc w:val="both"/>
        <w:rPr>
          <w:rFonts w:cstheme="minorHAnsi"/>
          <w:sz w:val="23"/>
          <w:szCs w:val="23"/>
        </w:rPr>
      </w:pPr>
    </w:p>
    <w:p w14:paraId="032C33C3" w14:textId="73DCEF5B" w:rsidR="00730F6F" w:rsidRDefault="00730F6F" w:rsidP="008F61F4">
      <w:pPr>
        <w:jc w:val="both"/>
        <w:rPr>
          <w:rFonts w:cstheme="minorHAnsi"/>
          <w:sz w:val="23"/>
          <w:szCs w:val="23"/>
        </w:rPr>
      </w:pPr>
      <w:r>
        <w:rPr>
          <w:rFonts w:cstheme="minorHAnsi"/>
          <w:sz w:val="23"/>
          <w:szCs w:val="23"/>
        </w:rPr>
        <w:t>Fig 6.</w:t>
      </w:r>
    </w:p>
    <w:tbl>
      <w:tblPr>
        <w:tblStyle w:val="GridTable1Light-Accent1"/>
        <w:tblW w:w="0" w:type="auto"/>
        <w:tblLook w:val="04A0" w:firstRow="1" w:lastRow="0" w:firstColumn="1" w:lastColumn="0" w:noHBand="0" w:noVBand="1"/>
      </w:tblPr>
      <w:tblGrid>
        <w:gridCol w:w="2254"/>
        <w:gridCol w:w="2254"/>
        <w:gridCol w:w="2254"/>
        <w:gridCol w:w="2254"/>
      </w:tblGrid>
      <w:tr w:rsidR="00730F6F" w14:paraId="6A2A5726" w14:textId="77777777" w:rsidTr="00730F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C88EE67" w14:textId="77777777" w:rsidR="00730F6F" w:rsidRDefault="00730F6F" w:rsidP="008F61F4">
            <w:pPr>
              <w:jc w:val="both"/>
              <w:rPr>
                <w:rFonts w:cstheme="minorHAnsi"/>
                <w:sz w:val="23"/>
                <w:szCs w:val="23"/>
              </w:rPr>
            </w:pPr>
          </w:p>
        </w:tc>
        <w:tc>
          <w:tcPr>
            <w:tcW w:w="2254" w:type="dxa"/>
          </w:tcPr>
          <w:p w14:paraId="21A12939" w14:textId="77777777" w:rsidR="00730F6F" w:rsidRDefault="00730F6F" w:rsidP="008F61F4">
            <w:pPr>
              <w:jc w:val="both"/>
              <w:cnfStyle w:val="100000000000" w:firstRow="1"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Predicted</w:t>
            </w:r>
          </w:p>
          <w:p w14:paraId="4C2E9599" w14:textId="3EB7364A" w:rsidR="00730F6F" w:rsidRDefault="00730F6F" w:rsidP="00730F6F">
            <w:pPr>
              <w:jc w:val="right"/>
              <w:cnfStyle w:val="100000000000" w:firstRow="1"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A</w:t>
            </w:r>
          </w:p>
        </w:tc>
        <w:tc>
          <w:tcPr>
            <w:tcW w:w="2254" w:type="dxa"/>
          </w:tcPr>
          <w:p w14:paraId="1D5FCAAB" w14:textId="77777777" w:rsidR="00730F6F" w:rsidRDefault="00730F6F" w:rsidP="008F61F4">
            <w:pPr>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3"/>
                <w:szCs w:val="23"/>
              </w:rPr>
            </w:pPr>
          </w:p>
          <w:p w14:paraId="322DE08E" w14:textId="7EEECBD9" w:rsidR="00730F6F" w:rsidRDefault="00730F6F" w:rsidP="00730F6F">
            <w:pPr>
              <w:jc w:val="right"/>
              <w:cnfStyle w:val="100000000000" w:firstRow="1"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D</w:t>
            </w:r>
          </w:p>
        </w:tc>
        <w:tc>
          <w:tcPr>
            <w:tcW w:w="2254" w:type="dxa"/>
          </w:tcPr>
          <w:p w14:paraId="252AF09B" w14:textId="77777777" w:rsidR="00730F6F" w:rsidRDefault="00730F6F" w:rsidP="008F61F4">
            <w:pPr>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3"/>
                <w:szCs w:val="23"/>
              </w:rPr>
            </w:pPr>
          </w:p>
          <w:p w14:paraId="250C767D" w14:textId="7B5D3BAD" w:rsidR="00730F6F" w:rsidRDefault="00730F6F" w:rsidP="00730F6F">
            <w:pPr>
              <w:jc w:val="right"/>
              <w:cnfStyle w:val="100000000000" w:firstRow="1"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H</w:t>
            </w:r>
          </w:p>
        </w:tc>
      </w:tr>
      <w:tr w:rsidR="00730F6F" w14:paraId="177F0397" w14:textId="77777777" w:rsidTr="00730F6F">
        <w:tc>
          <w:tcPr>
            <w:cnfStyle w:val="001000000000" w:firstRow="0" w:lastRow="0" w:firstColumn="1" w:lastColumn="0" w:oddVBand="0" w:evenVBand="0" w:oddHBand="0" w:evenHBand="0" w:firstRowFirstColumn="0" w:firstRowLastColumn="0" w:lastRowFirstColumn="0" w:lastRowLastColumn="0"/>
            <w:tcW w:w="2254" w:type="dxa"/>
          </w:tcPr>
          <w:p w14:paraId="7B04BCF3" w14:textId="7B492E1A" w:rsidR="00730F6F" w:rsidRDefault="00730F6F" w:rsidP="008F61F4">
            <w:pPr>
              <w:jc w:val="both"/>
              <w:rPr>
                <w:rFonts w:cstheme="minorHAnsi"/>
                <w:sz w:val="23"/>
                <w:szCs w:val="23"/>
              </w:rPr>
            </w:pPr>
            <w:r>
              <w:rPr>
                <w:rFonts w:cstheme="minorHAnsi"/>
                <w:sz w:val="23"/>
                <w:szCs w:val="23"/>
              </w:rPr>
              <w:t xml:space="preserve">Actual </w:t>
            </w:r>
          </w:p>
        </w:tc>
        <w:tc>
          <w:tcPr>
            <w:tcW w:w="2254" w:type="dxa"/>
          </w:tcPr>
          <w:p w14:paraId="7FD1A6E4" w14:textId="77777777" w:rsidR="00730F6F" w:rsidRDefault="00730F6F" w:rsidP="008F61F4">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p>
        </w:tc>
        <w:tc>
          <w:tcPr>
            <w:tcW w:w="2254" w:type="dxa"/>
          </w:tcPr>
          <w:p w14:paraId="28FC7955" w14:textId="77777777" w:rsidR="00730F6F" w:rsidRDefault="00730F6F" w:rsidP="008F61F4">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p>
        </w:tc>
        <w:tc>
          <w:tcPr>
            <w:tcW w:w="2254" w:type="dxa"/>
          </w:tcPr>
          <w:p w14:paraId="78C77922" w14:textId="77777777" w:rsidR="00730F6F" w:rsidRDefault="00730F6F" w:rsidP="008F61F4">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p>
        </w:tc>
      </w:tr>
      <w:tr w:rsidR="00730F6F" w14:paraId="7D21896D" w14:textId="77777777" w:rsidTr="00730F6F">
        <w:tc>
          <w:tcPr>
            <w:cnfStyle w:val="001000000000" w:firstRow="0" w:lastRow="0" w:firstColumn="1" w:lastColumn="0" w:oddVBand="0" w:evenVBand="0" w:oddHBand="0" w:evenHBand="0" w:firstRowFirstColumn="0" w:firstRowLastColumn="0" w:lastRowFirstColumn="0" w:lastRowLastColumn="0"/>
            <w:tcW w:w="2254" w:type="dxa"/>
          </w:tcPr>
          <w:p w14:paraId="7EB9839B" w14:textId="42C76617" w:rsidR="00730F6F" w:rsidRDefault="00730F6F" w:rsidP="00730F6F">
            <w:pPr>
              <w:jc w:val="right"/>
              <w:rPr>
                <w:rFonts w:cstheme="minorHAnsi"/>
                <w:sz w:val="23"/>
                <w:szCs w:val="23"/>
              </w:rPr>
            </w:pPr>
            <w:r>
              <w:rPr>
                <w:rFonts w:cstheme="minorHAnsi"/>
                <w:sz w:val="23"/>
                <w:szCs w:val="23"/>
              </w:rPr>
              <w:t>A</w:t>
            </w:r>
          </w:p>
        </w:tc>
        <w:tc>
          <w:tcPr>
            <w:tcW w:w="2254" w:type="dxa"/>
            <w:shd w:val="clear" w:color="auto" w:fill="A8D08D" w:themeFill="accent6" w:themeFillTint="99"/>
          </w:tcPr>
          <w:p w14:paraId="2DFAC3A7" w14:textId="10196D1F" w:rsidR="00730F6F" w:rsidRDefault="00730F6F" w:rsidP="008F61F4">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0.7%</w:t>
            </w:r>
          </w:p>
        </w:tc>
        <w:tc>
          <w:tcPr>
            <w:tcW w:w="2254" w:type="dxa"/>
            <w:shd w:val="clear" w:color="auto" w:fill="FD7061"/>
          </w:tcPr>
          <w:p w14:paraId="08309857" w14:textId="10B7CCA6" w:rsidR="00730F6F" w:rsidRDefault="00730F6F" w:rsidP="008F61F4">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12.4%</w:t>
            </w:r>
          </w:p>
        </w:tc>
        <w:tc>
          <w:tcPr>
            <w:tcW w:w="2254" w:type="dxa"/>
            <w:shd w:val="clear" w:color="auto" w:fill="FD7061"/>
          </w:tcPr>
          <w:p w14:paraId="4B50FDB3" w14:textId="7F1E34C4" w:rsidR="00730F6F" w:rsidRDefault="00730F6F" w:rsidP="008F61F4">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11.7%</w:t>
            </w:r>
          </w:p>
        </w:tc>
      </w:tr>
      <w:tr w:rsidR="00730F6F" w14:paraId="28175910" w14:textId="77777777" w:rsidTr="00730F6F">
        <w:tc>
          <w:tcPr>
            <w:cnfStyle w:val="001000000000" w:firstRow="0" w:lastRow="0" w:firstColumn="1" w:lastColumn="0" w:oddVBand="0" w:evenVBand="0" w:oddHBand="0" w:evenHBand="0" w:firstRowFirstColumn="0" w:firstRowLastColumn="0" w:lastRowFirstColumn="0" w:lastRowLastColumn="0"/>
            <w:tcW w:w="2254" w:type="dxa"/>
          </w:tcPr>
          <w:p w14:paraId="0AA20CCB" w14:textId="76A45F23" w:rsidR="00730F6F" w:rsidRDefault="00730F6F" w:rsidP="00730F6F">
            <w:pPr>
              <w:jc w:val="right"/>
              <w:rPr>
                <w:rFonts w:cstheme="minorHAnsi"/>
                <w:sz w:val="23"/>
                <w:szCs w:val="23"/>
              </w:rPr>
            </w:pPr>
            <w:r>
              <w:rPr>
                <w:rFonts w:cstheme="minorHAnsi"/>
                <w:sz w:val="23"/>
                <w:szCs w:val="23"/>
              </w:rPr>
              <w:t>D</w:t>
            </w:r>
          </w:p>
        </w:tc>
        <w:tc>
          <w:tcPr>
            <w:tcW w:w="2254" w:type="dxa"/>
            <w:shd w:val="clear" w:color="auto" w:fill="FD7061"/>
          </w:tcPr>
          <w:p w14:paraId="05D17455" w14:textId="63F44002" w:rsidR="00730F6F" w:rsidRDefault="00730F6F" w:rsidP="008F61F4">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6.6%</w:t>
            </w:r>
          </w:p>
        </w:tc>
        <w:tc>
          <w:tcPr>
            <w:tcW w:w="2254" w:type="dxa"/>
            <w:shd w:val="clear" w:color="auto" w:fill="A8D08D" w:themeFill="accent6" w:themeFillTint="99"/>
          </w:tcPr>
          <w:p w14:paraId="4F689747" w14:textId="6E96B1BF" w:rsidR="00730F6F" w:rsidRDefault="00730F6F" w:rsidP="008F61F4">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21.9%</w:t>
            </w:r>
          </w:p>
        </w:tc>
        <w:tc>
          <w:tcPr>
            <w:tcW w:w="2254" w:type="dxa"/>
            <w:shd w:val="clear" w:color="auto" w:fill="FD7061"/>
          </w:tcPr>
          <w:p w14:paraId="7A8053AF" w14:textId="1F9FCEA8" w:rsidR="00730F6F" w:rsidRDefault="00730F6F" w:rsidP="008F61F4">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8%</w:t>
            </w:r>
          </w:p>
        </w:tc>
      </w:tr>
      <w:tr w:rsidR="00730F6F" w14:paraId="532FC5DF" w14:textId="77777777" w:rsidTr="00730F6F">
        <w:tc>
          <w:tcPr>
            <w:cnfStyle w:val="001000000000" w:firstRow="0" w:lastRow="0" w:firstColumn="1" w:lastColumn="0" w:oddVBand="0" w:evenVBand="0" w:oddHBand="0" w:evenHBand="0" w:firstRowFirstColumn="0" w:firstRowLastColumn="0" w:lastRowFirstColumn="0" w:lastRowLastColumn="0"/>
            <w:tcW w:w="2254" w:type="dxa"/>
          </w:tcPr>
          <w:p w14:paraId="22C0714A" w14:textId="1AE2B94E" w:rsidR="00730F6F" w:rsidRDefault="00730F6F" w:rsidP="00730F6F">
            <w:pPr>
              <w:jc w:val="right"/>
              <w:rPr>
                <w:rFonts w:cstheme="minorHAnsi"/>
                <w:sz w:val="23"/>
                <w:szCs w:val="23"/>
              </w:rPr>
            </w:pPr>
            <w:r>
              <w:rPr>
                <w:rFonts w:cstheme="minorHAnsi"/>
                <w:sz w:val="23"/>
                <w:szCs w:val="23"/>
              </w:rPr>
              <w:t>H</w:t>
            </w:r>
          </w:p>
        </w:tc>
        <w:tc>
          <w:tcPr>
            <w:tcW w:w="2254" w:type="dxa"/>
            <w:shd w:val="clear" w:color="auto" w:fill="FD7061"/>
          </w:tcPr>
          <w:p w14:paraId="4BC6D962" w14:textId="12317278" w:rsidR="00730F6F" w:rsidRDefault="00730F6F" w:rsidP="008F61F4">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2.9%</w:t>
            </w:r>
          </w:p>
        </w:tc>
        <w:tc>
          <w:tcPr>
            <w:tcW w:w="2254" w:type="dxa"/>
            <w:shd w:val="clear" w:color="auto" w:fill="FD7061"/>
          </w:tcPr>
          <w:p w14:paraId="268E529B" w14:textId="68EB299E" w:rsidR="00730F6F" w:rsidRDefault="00730F6F" w:rsidP="008F61F4">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21.9%</w:t>
            </w:r>
          </w:p>
        </w:tc>
        <w:tc>
          <w:tcPr>
            <w:tcW w:w="2254" w:type="dxa"/>
            <w:shd w:val="clear" w:color="auto" w:fill="A8D08D" w:themeFill="accent6" w:themeFillTint="99"/>
          </w:tcPr>
          <w:p w14:paraId="3D03BB28" w14:textId="4F769279" w:rsidR="00730F6F" w:rsidRDefault="00730F6F" w:rsidP="008F61F4">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13.9%</w:t>
            </w:r>
          </w:p>
        </w:tc>
      </w:tr>
    </w:tbl>
    <w:p w14:paraId="2567BBA3" w14:textId="17962486" w:rsidR="00164DD3" w:rsidRDefault="00164DD3" w:rsidP="008F61F4">
      <w:pPr>
        <w:jc w:val="both"/>
        <w:rPr>
          <w:rFonts w:cstheme="minorHAnsi"/>
          <w:sz w:val="23"/>
          <w:szCs w:val="23"/>
        </w:rPr>
      </w:pPr>
    </w:p>
    <w:p w14:paraId="085195AF" w14:textId="2A491D62" w:rsidR="00164DD3" w:rsidRDefault="00730F6F" w:rsidP="008F61F4">
      <w:pPr>
        <w:jc w:val="both"/>
      </w:pPr>
      <w:r>
        <w:t>Fig 7.</w:t>
      </w:r>
    </w:p>
    <w:tbl>
      <w:tblPr>
        <w:tblStyle w:val="GridTable1Light-Accent1"/>
        <w:tblW w:w="0" w:type="auto"/>
        <w:tblLook w:val="04A0" w:firstRow="1" w:lastRow="0" w:firstColumn="1" w:lastColumn="0" w:noHBand="0" w:noVBand="1"/>
      </w:tblPr>
      <w:tblGrid>
        <w:gridCol w:w="2254"/>
        <w:gridCol w:w="2254"/>
        <w:gridCol w:w="2254"/>
        <w:gridCol w:w="2254"/>
      </w:tblGrid>
      <w:tr w:rsidR="00730F6F" w14:paraId="15BF8C4E" w14:textId="77777777" w:rsidTr="00D5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E528443" w14:textId="77777777" w:rsidR="00730F6F" w:rsidRDefault="00730F6F" w:rsidP="00D5138A">
            <w:pPr>
              <w:jc w:val="both"/>
              <w:rPr>
                <w:rFonts w:cstheme="minorHAnsi"/>
                <w:sz w:val="23"/>
                <w:szCs w:val="23"/>
              </w:rPr>
            </w:pPr>
          </w:p>
        </w:tc>
        <w:tc>
          <w:tcPr>
            <w:tcW w:w="2254" w:type="dxa"/>
          </w:tcPr>
          <w:p w14:paraId="4EA8DBC6" w14:textId="77777777" w:rsidR="00730F6F" w:rsidRDefault="00730F6F" w:rsidP="00D5138A">
            <w:pPr>
              <w:jc w:val="both"/>
              <w:cnfStyle w:val="100000000000" w:firstRow="1"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Predicted</w:t>
            </w:r>
          </w:p>
          <w:p w14:paraId="3F04282D" w14:textId="77777777" w:rsidR="00730F6F" w:rsidRDefault="00730F6F" w:rsidP="00D5138A">
            <w:pPr>
              <w:jc w:val="right"/>
              <w:cnfStyle w:val="100000000000" w:firstRow="1"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A</w:t>
            </w:r>
          </w:p>
        </w:tc>
        <w:tc>
          <w:tcPr>
            <w:tcW w:w="2254" w:type="dxa"/>
          </w:tcPr>
          <w:p w14:paraId="1D8619BF" w14:textId="77777777" w:rsidR="00730F6F" w:rsidRDefault="00730F6F" w:rsidP="00D5138A">
            <w:pPr>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3"/>
                <w:szCs w:val="23"/>
              </w:rPr>
            </w:pPr>
          </w:p>
          <w:p w14:paraId="3C966E3B" w14:textId="77777777" w:rsidR="00730F6F" w:rsidRDefault="00730F6F" w:rsidP="00D5138A">
            <w:pPr>
              <w:jc w:val="right"/>
              <w:cnfStyle w:val="100000000000" w:firstRow="1"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D</w:t>
            </w:r>
          </w:p>
        </w:tc>
        <w:tc>
          <w:tcPr>
            <w:tcW w:w="2254" w:type="dxa"/>
          </w:tcPr>
          <w:p w14:paraId="720FAFF6" w14:textId="77777777" w:rsidR="00730F6F" w:rsidRDefault="00730F6F" w:rsidP="00D5138A">
            <w:pPr>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3"/>
                <w:szCs w:val="23"/>
              </w:rPr>
            </w:pPr>
          </w:p>
          <w:p w14:paraId="5EDE6B19" w14:textId="77777777" w:rsidR="00730F6F" w:rsidRDefault="00730F6F" w:rsidP="00D5138A">
            <w:pPr>
              <w:jc w:val="right"/>
              <w:cnfStyle w:val="100000000000" w:firstRow="1"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H</w:t>
            </w:r>
          </w:p>
        </w:tc>
      </w:tr>
      <w:tr w:rsidR="00730F6F" w14:paraId="6504CAEE" w14:textId="77777777" w:rsidTr="00D5138A">
        <w:tc>
          <w:tcPr>
            <w:cnfStyle w:val="001000000000" w:firstRow="0" w:lastRow="0" w:firstColumn="1" w:lastColumn="0" w:oddVBand="0" w:evenVBand="0" w:oddHBand="0" w:evenHBand="0" w:firstRowFirstColumn="0" w:firstRowLastColumn="0" w:lastRowFirstColumn="0" w:lastRowLastColumn="0"/>
            <w:tcW w:w="2254" w:type="dxa"/>
          </w:tcPr>
          <w:p w14:paraId="7076473A" w14:textId="77777777" w:rsidR="00730F6F" w:rsidRDefault="00730F6F" w:rsidP="00D5138A">
            <w:pPr>
              <w:jc w:val="both"/>
              <w:rPr>
                <w:rFonts w:cstheme="minorHAnsi"/>
                <w:sz w:val="23"/>
                <w:szCs w:val="23"/>
              </w:rPr>
            </w:pPr>
            <w:r>
              <w:rPr>
                <w:rFonts w:cstheme="minorHAnsi"/>
                <w:sz w:val="23"/>
                <w:szCs w:val="23"/>
              </w:rPr>
              <w:t xml:space="preserve">Actual </w:t>
            </w:r>
          </w:p>
        </w:tc>
        <w:tc>
          <w:tcPr>
            <w:tcW w:w="2254" w:type="dxa"/>
          </w:tcPr>
          <w:p w14:paraId="0497736F" w14:textId="77777777" w:rsidR="00730F6F" w:rsidRDefault="00730F6F" w:rsidP="00D5138A">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p>
        </w:tc>
        <w:tc>
          <w:tcPr>
            <w:tcW w:w="2254" w:type="dxa"/>
          </w:tcPr>
          <w:p w14:paraId="41342A70" w14:textId="77777777" w:rsidR="00730F6F" w:rsidRDefault="00730F6F" w:rsidP="00D5138A">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p>
        </w:tc>
        <w:tc>
          <w:tcPr>
            <w:tcW w:w="2254" w:type="dxa"/>
          </w:tcPr>
          <w:p w14:paraId="094CDE9C" w14:textId="77777777" w:rsidR="00730F6F" w:rsidRDefault="00730F6F" w:rsidP="00D5138A">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p>
        </w:tc>
      </w:tr>
      <w:tr w:rsidR="00730F6F" w14:paraId="60BEBD3A" w14:textId="77777777" w:rsidTr="00D5138A">
        <w:tc>
          <w:tcPr>
            <w:cnfStyle w:val="001000000000" w:firstRow="0" w:lastRow="0" w:firstColumn="1" w:lastColumn="0" w:oddVBand="0" w:evenVBand="0" w:oddHBand="0" w:evenHBand="0" w:firstRowFirstColumn="0" w:firstRowLastColumn="0" w:lastRowFirstColumn="0" w:lastRowLastColumn="0"/>
            <w:tcW w:w="2254" w:type="dxa"/>
          </w:tcPr>
          <w:p w14:paraId="03E9F883" w14:textId="77777777" w:rsidR="00730F6F" w:rsidRDefault="00730F6F" w:rsidP="00D5138A">
            <w:pPr>
              <w:jc w:val="right"/>
              <w:rPr>
                <w:rFonts w:cstheme="minorHAnsi"/>
                <w:sz w:val="23"/>
                <w:szCs w:val="23"/>
              </w:rPr>
            </w:pPr>
            <w:r>
              <w:rPr>
                <w:rFonts w:cstheme="minorHAnsi"/>
                <w:sz w:val="23"/>
                <w:szCs w:val="23"/>
              </w:rPr>
              <w:t>A</w:t>
            </w:r>
          </w:p>
        </w:tc>
        <w:tc>
          <w:tcPr>
            <w:tcW w:w="2254" w:type="dxa"/>
            <w:shd w:val="clear" w:color="auto" w:fill="A8D08D" w:themeFill="accent6" w:themeFillTint="99"/>
          </w:tcPr>
          <w:p w14:paraId="41EF6A38" w14:textId="01FF0C77" w:rsidR="00730F6F" w:rsidRDefault="00730F6F" w:rsidP="00D5138A">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13.7%</w:t>
            </w:r>
          </w:p>
        </w:tc>
        <w:tc>
          <w:tcPr>
            <w:tcW w:w="2254" w:type="dxa"/>
            <w:shd w:val="clear" w:color="auto" w:fill="FD7061"/>
          </w:tcPr>
          <w:p w14:paraId="18CABBC4" w14:textId="6FCEE472" w:rsidR="00730F6F" w:rsidRDefault="00DD5EDE" w:rsidP="00D5138A">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1%</w:t>
            </w:r>
          </w:p>
        </w:tc>
        <w:tc>
          <w:tcPr>
            <w:tcW w:w="2254" w:type="dxa"/>
            <w:shd w:val="clear" w:color="auto" w:fill="FD7061"/>
          </w:tcPr>
          <w:p w14:paraId="34920461" w14:textId="491219BB" w:rsidR="00730F6F" w:rsidRDefault="00730F6F" w:rsidP="00D5138A">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p>
        </w:tc>
      </w:tr>
      <w:tr w:rsidR="00730F6F" w14:paraId="45C677AB" w14:textId="77777777" w:rsidTr="00D5138A">
        <w:tc>
          <w:tcPr>
            <w:cnfStyle w:val="001000000000" w:firstRow="0" w:lastRow="0" w:firstColumn="1" w:lastColumn="0" w:oddVBand="0" w:evenVBand="0" w:oddHBand="0" w:evenHBand="0" w:firstRowFirstColumn="0" w:firstRowLastColumn="0" w:lastRowFirstColumn="0" w:lastRowLastColumn="0"/>
            <w:tcW w:w="2254" w:type="dxa"/>
          </w:tcPr>
          <w:p w14:paraId="106E388F" w14:textId="77777777" w:rsidR="00730F6F" w:rsidRDefault="00730F6F" w:rsidP="00D5138A">
            <w:pPr>
              <w:jc w:val="right"/>
              <w:rPr>
                <w:rFonts w:cstheme="minorHAnsi"/>
                <w:sz w:val="23"/>
                <w:szCs w:val="23"/>
              </w:rPr>
            </w:pPr>
            <w:r>
              <w:rPr>
                <w:rFonts w:cstheme="minorHAnsi"/>
                <w:sz w:val="23"/>
                <w:szCs w:val="23"/>
              </w:rPr>
              <w:t>D</w:t>
            </w:r>
          </w:p>
        </w:tc>
        <w:tc>
          <w:tcPr>
            <w:tcW w:w="2254" w:type="dxa"/>
            <w:shd w:val="clear" w:color="auto" w:fill="FD7061"/>
          </w:tcPr>
          <w:p w14:paraId="6F7C7B4C" w14:textId="0C3ACF16" w:rsidR="00730F6F" w:rsidRDefault="00DD5EDE" w:rsidP="00D5138A">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2</w:t>
            </w:r>
            <w:r w:rsidR="00730F6F">
              <w:rPr>
                <w:rFonts w:cstheme="minorHAnsi"/>
                <w:sz w:val="23"/>
                <w:szCs w:val="23"/>
              </w:rPr>
              <w:t>%</w:t>
            </w:r>
          </w:p>
        </w:tc>
        <w:tc>
          <w:tcPr>
            <w:tcW w:w="2254" w:type="dxa"/>
            <w:shd w:val="clear" w:color="auto" w:fill="A8D08D" w:themeFill="accent6" w:themeFillTint="99"/>
          </w:tcPr>
          <w:p w14:paraId="1592F90A" w14:textId="5B219ADF" w:rsidR="00730F6F" w:rsidRDefault="00730F6F" w:rsidP="00D5138A">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29.3%</w:t>
            </w:r>
          </w:p>
        </w:tc>
        <w:tc>
          <w:tcPr>
            <w:tcW w:w="2254" w:type="dxa"/>
            <w:shd w:val="clear" w:color="auto" w:fill="FD7061"/>
          </w:tcPr>
          <w:p w14:paraId="4268B3CC" w14:textId="4D7929F4" w:rsidR="00730F6F" w:rsidRDefault="00DD5EDE" w:rsidP="00D5138A">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1.</w:t>
            </w:r>
            <w:r w:rsidR="00C0764F">
              <w:rPr>
                <w:rFonts w:cstheme="minorHAnsi"/>
                <w:sz w:val="23"/>
                <w:szCs w:val="23"/>
              </w:rPr>
              <w:t>3</w:t>
            </w:r>
            <w:r w:rsidR="00730F6F">
              <w:rPr>
                <w:rFonts w:cstheme="minorHAnsi"/>
                <w:sz w:val="23"/>
                <w:szCs w:val="23"/>
              </w:rPr>
              <w:t>%</w:t>
            </w:r>
          </w:p>
        </w:tc>
      </w:tr>
      <w:tr w:rsidR="00730F6F" w14:paraId="57D34B13" w14:textId="77777777" w:rsidTr="00D5138A">
        <w:tc>
          <w:tcPr>
            <w:cnfStyle w:val="001000000000" w:firstRow="0" w:lastRow="0" w:firstColumn="1" w:lastColumn="0" w:oddVBand="0" w:evenVBand="0" w:oddHBand="0" w:evenHBand="0" w:firstRowFirstColumn="0" w:firstRowLastColumn="0" w:lastRowFirstColumn="0" w:lastRowLastColumn="0"/>
            <w:tcW w:w="2254" w:type="dxa"/>
          </w:tcPr>
          <w:p w14:paraId="69E9BDCD" w14:textId="77777777" w:rsidR="00730F6F" w:rsidRDefault="00730F6F" w:rsidP="00D5138A">
            <w:pPr>
              <w:jc w:val="right"/>
              <w:rPr>
                <w:rFonts w:cstheme="minorHAnsi"/>
                <w:sz w:val="23"/>
                <w:szCs w:val="23"/>
              </w:rPr>
            </w:pPr>
            <w:r>
              <w:rPr>
                <w:rFonts w:cstheme="minorHAnsi"/>
                <w:sz w:val="23"/>
                <w:szCs w:val="23"/>
              </w:rPr>
              <w:t>H</w:t>
            </w:r>
          </w:p>
        </w:tc>
        <w:tc>
          <w:tcPr>
            <w:tcW w:w="2254" w:type="dxa"/>
            <w:shd w:val="clear" w:color="auto" w:fill="FD7061"/>
          </w:tcPr>
          <w:p w14:paraId="472343C7" w14:textId="1ADC1FAC" w:rsidR="00730F6F" w:rsidRDefault="00DD5EDE" w:rsidP="00D5138A">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7.3</w:t>
            </w:r>
            <w:r w:rsidR="00730F6F">
              <w:rPr>
                <w:rFonts w:cstheme="minorHAnsi"/>
                <w:sz w:val="23"/>
                <w:szCs w:val="23"/>
              </w:rPr>
              <w:t>%</w:t>
            </w:r>
          </w:p>
        </w:tc>
        <w:tc>
          <w:tcPr>
            <w:tcW w:w="2254" w:type="dxa"/>
            <w:shd w:val="clear" w:color="auto" w:fill="FD7061"/>
          </w:tcPr>
          <w:p w14:paraId="2EEC0F1F" w14:textId="59B25E56" w:rsidR="00730F6F" w:rsidRDefault="00DD5EDE" w:rsidP="00D5138A">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 xml:space="preserve">3.4% </w:t>
            </w:r>
          </w:p>
        </w:tc>
        <w:tc>
          <w:tcPr>
            <w:tcW w:w="2254" w:type="dxa"/>
            <w:shd w:val="clear" w:color="auto" w:fill="A8D08D" w:themeFill="accent6" w:themeFillTint="99"/>
          </w:tcPr>
          <w:p w14:paraId="310CEC55" w14:textId="56B6DA7B" w:rsidR="00730F6F" w:rsidRDefault="00730F6F" w:rsidP="00D5138A">
            <w:pPr>
              <w:jc w:val="both"/>
              <w:cnfStyle w:val="000000000000" w:firstRow="0" w:lastRow="0" w:firstColumn="0" w:lastColumn="0" w:oddVBand="0" w:evenVBand="0" w:oddHBand="0" w:evenHBand="0" w:firstRowFirstColumn="0" w:firstRowLastColumn="0" w:lastRowFirstColumn="0" w:lastRowLastColumn="0"/>
              <w:rPr>
                <w:rFonts w:cstheme="minorHAnsi"/>
                <w:sz w:val="23"/>
                <w:szCs w:val="23"/>
              </w:rPr>
            </w:pPr>
            <w:r>
              <w:rPr>
                <w:rFonts w:cstheme="minorHAnsi"/>
                <w:sz w:val="23"/>
                <w:szCs w:val="23"/>
              </w:rPr>
              <w:t>42%</w:t>
            </w:r>
          </w:p>
        </w:tc>
      </w:tr>
    </w:tbl>
    <w:p w14:paraId="51F91117" w14:textId="3C4B5002" w:rsidR="00730F6F" w:rsidRDefault="00730F6F" w:rsidP="008F61F4">
      <w:pPr>
        <w:jc w:val="both"/>
      </w:pPr>
    </w:p>
    <w:p w14:paraId="30492974" w14:textId="01C820FC" w:rsidR="00C0764F" w:rsidRDefault="00C0764F" w:rsidP="008F61F4">
      <w:pPr>
        <w:jc w:val="both"/>
      </w:pPr>
    </w:p>
    <w:p w14:paraId="75A60EDA" w14:textId="7E94C0F2" w:rsidR="00C0764F" w:rsidRDefault="00C0764F" w:rsidP="008F61F4">
      <w:pPr>
        <w:jc w:val="both"/>
      </w:pPr>
    </w:p>
    <w:p w14:paraId="2BBB0F82" w14:textId="424EB0FD" w:rsidR="00C0764F" w:rsidRDefault="00C0764F" w:rsidP="008F61F4">
      <w:pPr>
        <w:jc w:val="both"/>
      </w:pPr>
    </w:p>
    <w:p w14:paraId="5FE8ADAE" w14:textId="7C5BC8E5" w:rsidR="00C0764F" w:rsidRDefault="00C0764F" w:rsidP="008F61F4">
      <w:pPr>
        <w:jc w:val="both"/>
      </w:pPr>
    </w:p>
    <w:p w14:paraId="6836ED7A" w14:textId="1E415DEE" w:rsidR="00C0764F" w:rsidRDefault="00C0764F" w:rsidP="008F61F4">
      <w:pPr>
        <w:jc w:val="both"/>
      </w:pPr>
    </w:p>
    <w:p w14:paraId="4CBD298F" w14:textId="0FF03256" w:rsidR="00C0764F" w:rsidRDefault="00C0764F" w:rsidP="008F61F4">
      <w:pPr>
        <w:jc w:val="both"/>
      </w:pPr>
    </w:p>
    <w:p w14:paraId="0CC7C97D" w14:textId="67897562" w:rsidR="00C0764F" w:rsidRDefault="00C0764F" w:rsidP="008F61F4">
      <w:pPr>
        <w:jc w:val="both"/>
      </w:pPr>
    </w:p>
    <w:p w14:paraId="1F691A8D" w14:textId="32646C81" w:rsidR="00C0764F" w:rsidRDefault="00C0764F" w:rsidP="008F61F4">
      <w:pPr>
        <w:jc w:val="both"/>
      </w:pPr>
      <w:r>
        <w:lastRenderedPageBreak/>
        <w:t>Bibliography</w:t>
      </w:r>
    </w:p>
    <w:p w14:paraId="1407475F" w14:textId="77777777" w:rsidR="00C0764F" w:rsidRPr="00EA69C8" w:rsidRDefault="00C0764F" w:rsidP="00C0764F">
      <w:pPr>
        <w:rPr>
          <w:rFonts w:cstheme="minorHAnsi"/>
        </w:rPr>
      </w:pPr>
      <w:r w:rsidRPr="00EA69C8">
        <w:rPr>
          <w:rFonts w:cstheme="minorHAnsi"/>
        </w:rPr>
        <w:t>Constantinou, A. C. and Fenton, Norman E. (2013). Profiting from arbitrage and odds biases of the European football gambling market</w:t>
      </w:r>
      <w:r w:rsidRPr="00EA69C8">
        <w:rPr>
          <w:rFonts w:cstheme="minorHAnsi"/>
          <w:i/>
        </w:rPr>
        <w:t xml:space="preserve">. The Journal of Gambling Business and Economics, </w:t>
      </w:r>
      <w:r w:rsidRPr="00EA69C8">
        <w:rPr>
          <w:rFonts w:cstheme="minorHAnsi"/>
        </w:rPr>
        <w:t>[online]</w:t>
      </w:r>
      <w:r w:rsidRPr="00EA69C8">
        <w:rPr>
          <w:rFonts w:cstheme="minorHAnsi"/>
          <w:i/>
        </w:rPr>
        <w:t xml:space="preserve"> </w:t>
      </w:r>
      <w:r w:rsidRPr="00EA69C8">
        <w:rPr>
          <w:rFonts w:cstheme="minorHAnsi"/>
        </w:rPr>
        <w:t>7(2)</w:t>
      </w:r>
      <w:r w:rsidRPr="00EA69C8">
        <w:rPr>
          <w:rFonts w:cstheme="minorHAnsi"/>
          <w:i/>
        </w:rPr>
        <w:t>: p.41.</w:t>
      </w:r>
      <w:r w:rsidRPr="00EA69C8">
        <w:rPr>
          <w:rFonts w:cstheme="minorHAnsi"/>
        </w:rPr>
        <w:t xml:space="preserve"> Available at: </w:t>
      </w:r>
      <w:hyperlink r:id="rId8" w:history="1">
        <w:r w:rsidRPr="00EA69C8">
          <w:rPr>
            <w:rStyle w:val="Hyperlink"/>
            <w:rFonts w:cstheme="minorHAnsi"/>
          </w:rPr>
          <w:t>http://constantinou.info/downloads/papers/evidenceofinefficiency.pdf</w:t>
        </w:r>
      </w:hyperlink>
      <w:r w:rsidRPr="00EA69C8">
        <w:rPr>
          <w:rFonts w:cstheme="minorHAnsi"/>
        </w:rPr>
        <w:t xml:space="preserve"> [Accessed 22 Sept. 2018]</w:t>
      </w:r>
    </w:p>
    <w:p w14:paraId="0688C2B9" w14:textId="77777777" w:rsidR="00C0764F" w:rsidRPr="00EA69C8" w:rsidRDefault="00C0764F" w:rsidP="00C0764F">
      <w:pPr>
        <w:rPr>
          <w:rFonts w:cstheme="minorHAnsi"/>
        </w:rPr>
      </w:pPr>
      <w:proofErr w:type="spellStart"/>
      <w:r w:rsidRPr="00EA69C8">
        <w:rPr>
          <w:rFonts w:cstheme="minorHAnsi"/>
        </w:rPr>
        <w:t>Hvattum</w:t>
      </w:r>
      <w:proofErr w:type="spellEnd"/>
      <w:r w:rsidRPr="00EA69C8">
        <w:rPr>
          <w:rFonts w:cstheme="minorHAnsi"/>
        </w:rPr>
        <w:t>, L. (201</w:t>
      </w:r>
      <w:r>
        <w:rPr>
          <w:rFonts w:cstheme="minorHAnsi"/>
        </w:rPr>
        <w:t>2</w:t>
      </w:r>
      <w:r w:rsidRPr="00EA69C8">
        <w:rPr>
          <w:rFonts w:cstheme="minorHAnsi"/>
        </w:rPr>
        <w:t xml:space="preserve">). </w:t>
      </w:r>
      <w:proofErr w:type="spellStart"/>
      <w:r w:rsidRPr="00EA69C8">
        <w:rPr>
          <w:rFonts w:cstheme="minorHAnsi"/>
        </w:rPr>
        <w:t>Analyzing</w:t>
      </w:r>
      <w:proofErr w:type="spellEnd"/>
      <w:r w:rsidRPr="00EA69C8">
        <w:rPr>
          <w:rFonts w:cstheme="minorHAnsi"/>
        </w:rPr>
        <w:t xml:space="preserve"> information efficiency in the betting market for association football league winners. Available at: </w:t>
      </w:r>
      <w:r w:rsidRPr="00D25A50">
        <w:rPr>
          <w:rStyle w:val="HTMLCite"/>
          <w:rFonts w:cstheme="minorHAnsi"/>
          <w:color w:val="006621"/>
          <w:u w:val="single"/>
          <w:shd w:val="clear" w:color="auto" w:fill="FFFFFF"/>
        </w:rPr>
        <w:t>http://www.enexto.com/FootballLeagueSimulator/Hvattum_2012.pdf</w:t>
      </w:r>
      <w:r w:rsidRPr="00EA69C8">
        <w:rPr>
          <w:rStyle w:val="HTMLCite"/>
          <w:rFonts w:cstheme="minorHAnsi"/>
          <w:color w:val="006621"/>
          <w:u w:val="single"/>
          <w:shd w:val="clear" w:color="auto" w:fill="FFFFFF"/>
        </w:rPr>
        <w:t xml:space="preserve"> </w:t>
      </w:r>
      <w:r w:rsidRPr="00EA69C8">
        <w:rPr>
          <w:rFonts w:cstheme="minorHAnsi"/>
          <w:shd w:val="clear" w:color="auto" w:fill="FFFFFF"/>
        </w:rPr>
        <w:t>[Accessed 10 Oct. 2018]</w:t>
      </w:r>
    </w:p>
    <w:p w14:paraId="4F4A9B51" w14:textId="77777777" w:rsidR="00C0764F" w:rsidRDefault="00C0764F" w:rsidP="00C0764F">
      <w:pPr>
        <w:spacing w:after="0" w:line="240" w:lineRule="auto"/>
        <w:rPr>
          <w:rStyle w:val="Hyperlink"/>
          <w:rFonts w:eastAsia="Times New Roman" w:cstheme="minorHAnsi"/>
          <w:lang w:eastAsia="en-GB"/>
        </w:rPr>
      </w:pPr>
      <w:bookmarkStart w:id="1" w:name="_Hlk5726009"/>
      <w:r w:rsidRPr="00EA69C8">
        <w:rPr>
          <w:rFonts w:eastAsia="Times New Roman" w:cstheme="minorHAnsi"/>
          <w:color w:val="000000"/>
          <w:lang w:eastAsia="en-GB"/>
        </w:rPr>
        <w:t xml:space="preserve">S. Mohammad </w:t>
      </w:r>
      <w:proofErr w:type="spellStart"/>
      <w:r w:rsidRPr="00EA69C8">
        <w:rPr>
          <w:rFonts w:eastAsia="Times New Roman" w:cstheme="minorHAnsi"/>
          <w:color w:val="000000"/>
          <w:lang w:eastAsia="en-GB"/>
        </w:rPr>
        <w:t>Arabzad</w:t>
      </w:r>
      <w:proofErr w:type="spellEnd"/>
      <w:r w:rsidRPr="00EA69C8">
        <w:rPr>
          <w:rFonts w:eastAsia="Times New Roman" w:cstheme="minorHAnsi"/>
          <w:color w:val="000000"/>
          <w:lang w:eastAsia="en-GB"/>
        </w:rPr>
        <w:t xml:space="preserve">, M.E. Tayebi </w:t>
      </w:r>
      <w:proofErr w:type="spellStart"/>
      <w:r w:rsidRPr="00EA69C8">
        <w:rPr>
          <w:rFonts w:eastAsia="Times New Roman" w:cstheme="minorHAnsi"/>
          <w:color w:val="000000"/>
          <w:lang w:eastAsia="en-GB"/>
        </w:rPr>
        <w:t>Araghi</w:t>
      </w:r>
      <w:proofErr w:type="spellEnd"/>
      <w:r w:rsidRPr="00EA69C8">
        <w:rPr>
          <w:rFonts w:eastAsia="Times New Roman" w:cstheme="minorHAnsi"/>
          <w:color w:val="000000"/>
          <w:lang w:eastAsia="en-GB"/>
        </w:rPr>
        <w:t xml:space="preserve">, S. </w:t>
      </w:r>
      <w:proofErr w:type="spellStart"/>
      <w:r w:rsidRPr="00EA69C8">
        <w:rPr>
          <w:rFonts w:eastAsia="Times New Roman" w:cstheme="minorHAnsi"/>
          <w:color w:val="000000"/>
          <w:lang w:eastAsia="en-GB"/>
        </w:rPr>
        <w:t>Sadi-Nezhad</w:t>
      </w:r>
      <w:proofErr w:type="spellEnd"/>
      <w:r w:rsidRPr="00EA69C8">
        <w:rPr>
          <w:rFonts w:eastAsia="Times New Roman" w:cstheme="minorHAnsi"/>
          <w:color w:val="000000"/>
          <w:lang w:eastAsia="en-GB"/>
        </w:rPr>
        <w:t xml:space="preserve">, and </w:t>
      </w:r>
      <w:proofErr w:type="spellStart"/>
      <w:r w:rsidRPr="00EA69C8">
        <w:rPr>
          <w:rFonts w:eastAsia="Times New Roman" w:cstheme="minorHAnsi"/>
          <w:color w:val="000000"/>
          <w:lang w:eastAsia="en-GB"/>
        </w:rPr>
        <w:t>Nooshin</w:t>
      </w:r>
      <w:proofErr w:type="spellEnd"/>
      <w:r w:rsidRPr="00EA69C8">
        <w:rPr>
          <w:rFonts w:eastAsia="Times New Roman" w:cstheme="minorHAnsi"/>
          <w:color w:val="000000"/>
          <w:lang w:eastAsia="en-GB"/>
        </w:rPr>
        <w:t xml:space="preserve"> </w:t>
      </w:r>
      <w:proofErr w:type="spellStart"/>
      <w:r w:rsidRPr="00EA69C8">
        <w:rPr>
          <w:rFonts w:eastAsia="Times New Roman" w:cstheme="minorHAnsi"/>
          <w:color w:val="000000"/>
          <w:lang w:eastAsia="en-GB"/>
        </w:rPr>
        <w:t>Ghofrani</w:t>
      </w:r>
      <w:proofErr w:type="spellEnd"/>
      <w:r w:rsidRPr="00EA69C8">
        <w:rPr>
          <w:rFonts w:eastAsia="Times New Roman" w:cstheme="minorHAnsi"/>
          <w:color w:val="000000"/>
          <w:lang w:eastAsia="en-GB"/>
        </w:rPr>
        <w:t xml:space="preserve">. (2014). Football Match Results Prediction Using Artificial Neural Networks; The Case of Iran Pro League. Journal of Applied Research on Industrial Engineering 1, 3 (2014), 159-179. </w:t>
      </w:r>
      <w:hyperlink r:id="rId9" w:history="1">
        <w:r w:rsidRPr="00EA69C8">
          <w:rPr>
            <w:rStyle w:val="Hyperlink"/>
            <w:rFonts w:eastAsia="Times New Roman" w:cstheme="minorHAnsi"/>
            <w:lang w:eastAsia="en-GB"/>
          </w:rPr>
          <w:t>http://www.journal-aprie.com/article_43050.html</w:t>
        </w:r>
      </w:hyperlink>
    </w:p>
    <w:bookmarkEnd w:id="1"/>
    <w:p w14:paraId="51A35EF0" w14:textId="220C71C7" w:rsidR="00C0764F" w:rsidRDefault="00C0764F" w:rsidP="008F61F4">
      <w:pPr>
        <w:jc w:val="both"/>
      </w:pPr>
    </w:p>
    <w:p w14:paraId="2D024BFE" w14:textId="77777777" w:rsidR="00C0764F" w:rsidRPr="00EA69C8" w:rsidRDefault="00C0764F" w:rsidP="00C0764F">
      <w:pPr>
        <w:tabs>
          <w:tab w:val="left" w:pos="0"/>
        </w:tabs>
        <w:spacing w:after="0" w:line="240" w:lineRule="auto"/>
        <w:rPr>
          <w:rFonts w:cstheme="minorHAnsi"/>
          <w:i/>
        </w:rPr>
      </w:pPr>
      <w:bookmarkStart w:id="2" w:name="_Hlk5726074"/>
      <w:proofErr w:type="spellStart"/>
      <w:r w:rsidRPr="00EA69C8">
        <w:rPr>
          <w:rFonts w:cstheme="minorHAnsi"/>
          <w:color w:val="000000"/>
          <w:shd w:val="clear" w:color="auto" w:fill="FFFFFF"/>
        </w:rPr>
        <w:t>Štrumbelj</w:t>
      </w:r>
      <w:proofErr w:type="spellEnd"/>
      <w:r w:rsidRPr="00EA69C8">
        <w:rPr>
          <w:rFonts w:cstheme="minorHAnsi"/>
          <w:color w:val="000000"/>
          <w:shd w:val="clear" w:color="auto" w:fill="FFFFFF"/>
        </w:rPr>
        <w:t xml:space="preserve">, E. and </w:t>
      </w:r>
      <w:proofErr w:type="spellStart"/>
      <w:r w:rsidRPr="00EA69C8">
        <w:rPr>
          <w:rFonts w:cstheme="minorHAnsi"/>
          <w:color w:val="000000"/>
          <w:shd w:val="clear" w:color="auto" w:fill="FFFFFF"/>
        </w:rPr>
        <w:t>Šikonja</w:t>
      </w:r>
      <w:proofErr w:type="spellEnd"/>
      <w:r w:rsidRPr="00EA69C8">
        <w:rPr>
          <w:rFonts w:cstheme="minorHAnsi"/>
          <w:color w:val="000000"/>
          <w:shd w:val="clear" w:color="auto" w:fill="FFFFFF"/>
        </w:rPr>
        <w:t>, M. (2010). Online bookmakers’ odds as forecasts: The case of European soccer leagues. </w:t>
      </w:r>
      <w:r w:rsidRPr="00EA69C8">
        <w:rPr>
          <w:rFonts w:cstheme="minorHAnsi"/>
          <w:i/>
          <w:iCs/>
          <w:color w:val="000000"/>
          <w:shd w:val="clear" w:color="auto" w:fill="FFFFFF"/>
        </w:rPr>
        <w:t>International Journal of Forecasting</w:t>
      </w:r>
      <w:r w:rsidRPr="00EA69C8">
        <w:rPr>
          <w:rFonts w:cstheme="minorHAnsi"/>
          <w:color w:val="000000"/>
          <w:shd w:val="clear" w:color="auto" w:fill="FFFFFF"/>
        </w:rPr>
        <w:t xml:space="preserve">, [online] 26(3), pp.482-488. Available at: </w:t>
      </w:r>
      <w:hyperlink r:id="rId10" w:history="1">
        <w:r w:rsidRPr="00EA69C8">
          <w:rPr>
            <w:rStyle w:val="Hyperlink"/>
            <w:rFonts w:cstheme="minorHAnsi"/>
            <w:shd w:val="clear" w:color="auto" w:fill="FFFFFF"/>
          </w:rPr>
          <w:t>https://www.researchgate.net/publication/46497620_Online_bookmakers'_odds_as_forecasts_The_case_of_European_soccer_leagues</w:t>
        </w:r>
      </w:hyperlink>
      <w:r w:rsidRPr="00EA69C8">
        <w:rPr>
          <w:rFonts w:cstheme="minorHAnsi"/>
          <w:color w:val="000000"/>
          <w:shd w:val="clear" w:color="auto" w:fill="FFFFFF"/>
        </w:rPr>
        <w:t xml:space="preserve">  [Accessed 16 Oct. 2018].</w:t>
      </w:r>
    </w:p>
    <w:bookmarkEnd w:id="2"/>
    <w:p w14:paraId="527596AA" w14:textId="77777777" w:rsidR="00C0764F" w:rsidRPr="00CC59F6" w:rsidRDefault="00C0764F" w:rsidP="008F61F4">
      <w:pPr>
        <w:jc w:val="both"/>
      </w:pPr>
    </w:p>
    <w:sectPr w:rsidR="00C0764F" w:rsidRPr="00CC5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FF"/>
    <w:rsid w:val="00006440"/>
    <w:rsid w:val="00042F5A"/>
    <w:rsid w:val="000B02FE"/>
    <w:rsid w:val="000F0001"/>
    <w:rsid w:val="000F6545"/>
    <w:rsid w:val="00153247"/>
    <w:rsid w:val="00164DD3"/>
    <w:rsid w:val="001A3FFE"/>
    <w:rsid w:val="00223DC5"/>
    <w:rsid w:val="002B6AD6"/>
    <w:rsid w:val="002D5F32"/>
    <w:rsid w:val="003125FF"/>
    <w:rsid w:val="00483A15"/>
    <w:rsid w:val="00495E00"/>
    <w:rsid w:val="005465AB"/>
    <w:rsid w:val="00680E41"/>
    <w:rsid w:val="006D09FF"/>
    <w:rsid w:val="006F1CBD"/>
    <w:rsid w:val="00730F6F"/>
    <w:rsid w:val="007F4544"/>
    <w:rsid w:val="0082259D"/>
    <w:rsid w:val="008F61F4"/>
    <w:rsid w:val="0091493A"/>
    <w:rsid w:val="00974DBF"/>
    <w:rsid w:val="00B323B2"/>
    <w:rsid w:val="00BE421D"/>
    <w:rsid w:val="00BE56BE"/>
    <w:rsid w:val="00C0764F"/>
    <w:rsid w:val="00C3618E"/>
    <w:rsid w:val="00CC1EE2"/>
    <w:rsid w:val="00CC59F6"/>
    <w:rsid w:val="00DD5EDE"/>
    <w:rsid w:val="00E10AC3"/>
    <w:rsid w:val="00E271D1"/>
    <w:rsid w:val="00E47FE0"/>
    <w:rsid w:val="00E627F4"/>
    <w:rsid w:val="00F01D32"/>
    <w:rsid w:val="00F53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FF6D"/>
  <w15:chartTrackingRefBased/>
  <w15:docId w15:val="{639EA9AF-C824-41DF-ADA7-1EA73E85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0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9F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32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323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B323B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F000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6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4DD3"/>
    <w:rPr>
      <w:rFonts w:ascii="Courier New" w:eastAsia="Times New Roman" w:hAnsi="Courier New" w:cs="Courier New"/>
      <w:sz w:val="20"/>
      <w:szCs w:val="20"/>
      <w:lang w:eastAsia="en-GB"/>
    </w:rPr>
  </w:style>
  <w:style w:type="character" w:customStyle="1" w:styleId="gnkrckgcgsb">
    <w:name w:val="gnkrckgcgsb"/>
    <w:basedOn w:val="DefaultParagraphFont"/>
    <w:rsid w:val="00164DD3"/>
  </w:style>
  <w:style w:type="character" w:styleId="Hyperlink">
    <w:name w:val="Hyperlink"/>
    <w:basedOn w:val="DefaultParagraphFont"/>
    <w:uiPriority w:val="99"/>
    <w:unhideWhenUsed/>
    <w:rsid w:val="00C0764F"/>
    <w:rPr>
      <w:color w:val="0563C1" w:themeColor="hyperlink"/>
      <w:u w:val="single"/>
    </w:rPr>
  </w:style>
  <w:style w:type="character" w:styleId="HTMLCite">
    <w:name w:val="HTML Cite"/>
    <w:basedOn w:val="DefaultParagraphFont"/>
    <w:uiPriority w:val="99"/>
    <w:semiHidden/>
    <w:unhideWhenUsed/>
    <w:rsid w:val="00C076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369147">
      <w:bodyDiv w:val="1"/>
      <w:marLeft w:val="0"/>
      <w:marRight w:val="0"/>
      <w:marTop w:val="0"/>
      <w:marBottom w:val="0"/>
      <w:divBdr>
        <w:top w:val="none" w:sz="0" w:space="0" w:color="auto"/>
        <w:left w:val="none" w:sz="0" w:space="0" w:color="auto"/>
        <w:bottom w:val="none" w:sz="0" w:space="0" w:color="auto"/>
        <w:right w:val="none" w:sz="0" w:space="0" w:color="auto"/>
      </w:divBdr>
    </w:div>
    <w:div w:id="192152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stantinou.info/downloads/papers/evidenceofinefficiency.pdf" TargetMode="Externa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hyperlink" Target="https://www.researchgate.net/publication/46497620_Online_bookmakers'_odds_as_forecasts_The_case_of_European_soccer_leagues" TargetMode="External"/><Relationship Id="rId4" Type="http://schemas.openxmlformats.org/officeDocument/2006/relationships/chart" Target="charts/chart1.xml"/><Relationship Id="rId9" Type="http://schemas.openxmlformats.org/officeDocument/2006/relationships/hyperlink" Target="http://www.journal-aprie.com/article_43050.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mcastedu-my.sharepoint.com/personal/geordey_gatt_a100514_mcast_edu_mt/Document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castedu-my.sharepoint.com/personal/geordey_gatt_a100514_mcast_edu_mt/Documents/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castedu-my.sharepoint.com/personal/geordey_gatt_a100514_mcast_edu_mt/Document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castedu-my.sharepoint.com/personal/geordey_gatt_a100514_mcast_edu_mt/Documents/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'Over the Years'!$A$2</c:f>
              <c:strCache>
                <c:ptCount val="1"/>
                <c:pt idx="0">
                  <c:v>BPL</c:v>
                </c:pt>
              </c:strCache>
            </c:strRef>
          </c:tx>
          <c:spPr>
            <a:ln w="22225" cap="rnd">
              <a:solidFill>
                <a:schemeClr val="accent1"/>
              </a:solidFill>
              <a:round/>
            </a:ln>
            <a:effectLst/>
          </c:spPr>
          <c:marker>
            <c:symbol val="none"/>
          </c:marker>
          <c:cat>
            <c:strRef>
              <c:f>'Over the Years'!$B$1:$S$1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'Over the Years'!$B$2:$S$2</c:f>
              <c:numCache>
                <c:formatCode>0.00%</c:formatCode>
                <c:ptCount val="18"/>
                <c:pt idx="0">
                  <c:v>0.64500000000000002</c:v>
                </c:pt>
                <c:pt idx="1">
                  <c:v>0.40850000000000003</c:v>
                </c:pt>
                <c:pt idx="2">
                  <c:v>0.90999999999999981</c:v>
                </c:pt>
                <c:pt idx="3">
                  <c:v>0.8294999999999999</c:v>
                </c:pt>
                <c:pt idx="4">
                  <c:v>0.93271428571428572</c:v>
                </c:pt>
                <c:pt idx="5">
                  <c:v>0.93562500000000015</c:v>
                </c:pt>
                <c:pt idx="6">
                  <c:v>0.9222499999999999</c:v>
                </c:pt>
                <c:pt idx="7">
                  <c:v>0.94599999999999995</c:v>
                </c:pt>
                <c:pt idx="8">
                  <c:v>0.91912500000000019</c:v>
                </c:pt>
                <c:pt idx="9">
                  <c:v>0.92449999999999988</c:v>
                </c:pt>
                <c:pt idx="10">
                  <c:v>0.91749999999999998</c:v>
                </c:pt>
                <c:pt idx="11">
                  <c:v>0.9355</c:v>
                </c:pt>
                <c:pt idx="12">
                  <c:v>0.94162499999999993</c:v>
                </c:pt>
                <c:pt idx="13">
                  <c:v>0.93499999999999994</c:v>
                </c:pt>
                <c:pt idx="14">
                  <c:v>0.92471428571428571</c:v>
                </c:pt>
                <c:pt idx="15">
                  <c:v>0.93214285714285716</c:v>
                </c:pt>
                <c:pt idx="16">
                  <c:v>0.91971428571428571</c:v>
                </c:pt>
                <c:pt idx="17">
                  <c:v>0.93085714285714283</c:v>
                </c:pt>
              </c:numCache>
            </c:numRef>
          </c:val>
          <c:smooth val="0"/>
          <c:extLst>
            <c:ext xmlns:c16="http://schemas.microsoft.com/office/drawing/2014/chart" uri="{C3380CC4-5D6E-409C-BE32-E72D297353CC}">
              <c16:uniqueId val="{00000000-BC9B-4C01-80A4-B7F553C60CE3}"/>
            </c:ext>
          </c:extLst>
        </c:ser>
        <c:ser>
          <c:idx val="1"/>
          <c:order val="1"/>
          <c:tx>
            <c:strRef>
              <c:f>'Over the Years'!$A$3</c:f>
              <c:strCache>
                <c:ptCount val="1"/>
                <c:pt idx="0">
                  <c:v>Serie A</c:v>
                </c:pt>
              </c:strCache>
            </c:strRef>
          </c:tx>
          <c:spPr>
            <a:ln w="22225" cap="rnd">
              <a:solidFill>
                <a:schemeClr val="accent2"/>
              </a:solidFill>
              <a:round/>
            </a:ln>
            <a:effectLst/>
          </c:spPr>
          <c:marker>
            <c:symbol val="none"/>
          </c:marker>
          <c:cat>
            <c:strRef>
              <c:f>'Over the Years'!$B$1:$S$1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'Over the Years'!$B$3:$S$3</c:f>
              <c:numCache>
                <c:formatCode>0.00%</c:formatCode>
                <c:ptCount val="18"/>
                <c:pt idx="0">
                  <c:v>0.41180000000000005</c:v>
                </c:pt>
                <c:pt idx="1">
                  <c:v>0.41766666666666663</c:v>
                </c:pt>
                <c:pt idx="2">
                  <c:v>0.95633333333333337</c:v>
                </c:pt>
                <c:pt idx="3">
                  <c:v>0.86549999999999994</c:v>
                </c:pt>
                <c:pt idx="4">
                  <c:v>0.93814285714285717</c:v>
                </c:pt>
                <c:pt idx="5">
                  <c:v>0.96775000000000011</c:v>
                </c:pt>
                <c:pt idx="6">
                  <c:v>0.93962499999999993</c:v>
                </c:pt>
                <c:pt idx="7">
                  <c:v>0.95250000000000001</c:v>
                </c:pt>
                <c:pt idx="8">
                  <c:v>0.92949999999999999</c:v>
                </c:pt>
                <c:pt idx="9">
                  <c:v>0.92574999999999996</c:v>
                </c:pt>
                <c:pt idx="10">
                  <c:v>0.91062500000000013</c:v>
                </c:pt>
                <c:pt idx="11">
                  <c:v>0.92899999999999994</c:v>
                </c:pt>
                <c:pt idx="12">
                  <c:v>0.92574999999999996</c:v>
                </c:pt>
                <c:pt idx="13">
                  <c:v>0.93014285714285716</c:v>
                </c:pt>
                <c:pt idx="14">
                  <c:v>0.90228571428571436</c:v>
                </c:pt>
                <c:pt idx="15">
                  <c:v>0.9178571428571427</c:v>
                </c:pt>
                <c:pt idx="16">
                  <c:v>0.92657142857142849</c:v>
                </c:pt>
                <c:pt idx="17">
                  <c:v>0.93157142857142872</c:v>
                </c:pt>
              </c:numCache>
            </c:numRef>
          </c:val>
          <c:smooth val="0"/>
          <c:extLst>
            <c:ext xmlns:c16="http://schemas.microsoft.com/office/drawing/2014/chart" uri="{C3380CC4-5D6E-409C-BE32-E72D297353CC}">
              <c16:uniqueId val="{00000001-BC9B-4C01-80A4-B7F553C60CE3}"/>
            </c:ext>
          </c:extLst>
        </c:ser>
        <c:ser>
          <c:idx val="2"/>
          <c:order val="2"/>
          <c:tx>
            <c:strRef>
              <c:f>'Over the Years'!$A$4</c:f>
              <c:strCache>
                <c:ptCount val="1"/>
                <c:pt idx="0">
                  <c:v>Bundesliga</c:v>
                </c:pt>
              </c:strCache>
            </c:strRef>
          </c:tx>
          <c:spPr>
            <a:ln w="22225" cap="rnd">
              <a:solidFill>
                <a:schemeClr val="accent3"/>
              </a:solidFill>
              <a:round/>
            </a:ln>
            <a:effectLst/>
          </c:spPr>
          <c:marker>
            <c:symbol val="none"/>
          </c:marker>
          <c:cat>
            <c:strRef>
              <c:f>'Over the Years'!$B$1:$S$1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'Over the Years'!$B$4:$S$4</c:f>
              <c:numCache>
                <c:formatCode>0.00%</c:formatCode>
                <c:ptCount val="18"/>
                <c:pt idx="0">
                  <c:v>0.51560000000000006</c:v>
                </c:pt>
                <c:pt idx="1">
                  <c:v>0.46666666666666662</c:v>
                </c:pt>
                <c:pt idx="2">
                  <c:v>0.95133333333333325</c:v>
                </c:pt>
                <c:pt idx="3">
                  <c:v>0.85466666666666669</c:v>
                </c:pt>
                <c:pt idx="4">
                  <c:v>0.96400000000000008</c:v>
                </c:pt>
                <c:pt idx="5">
                  <c:v>0.93562500000000004</c:v>
                </c:pt>
                <c:pt idx="6">
                  <c:v>0.92337499999999995</c:v>
                </c:pt>
                <c:pt idx="7">
                  <c:v>0.96199999999999997</c:v>
                </c:pt>
                <c:pt idx="8">
                  <c:v>0.9395</c:v>
                </c:pt>
                <c:pt idx="9">
                  <c:v>0.93262500000000004</c:v>
                </c:pt>
                <c:pt idx="10">
                  <c:v>0.93612499999999998</c:v>
                </c:pt>
                <c:pt idx="11">
                  <c:v>0.95362499999999983</c:v>
                </c:pt>
                <c:pt idx="12">
                  <c:v>0.93400000000000005</c:v>
                </c:pt>
                <c:pt idx="13">
                  <c:v>0.96471428571428575</c:v>
                </c:pt>
                <c:pt idx="14">
                  <c:v>0.93771428571428583</c:v>
                </c:pt>
                <c:pt idx="15">
                  <c:v>0.94857142857142862</c:v>
                </c:pt>
                <c:pt idx="16">
                  <c:v>0.95071428571428562</c:v>
                </c:pt>
                <c:pt idx="17">
                  <c:v>0.94071428571428573</c:v>
                </c:pt>
              </c:numCache>
            </c:numRef>
          </c:val>
          <c:smooth val="0"/>
          <c:extLst>
            <c:ext xmlns:c16="http://schemas.microsoft.com/office/drawing/2014/chart" uri="{C3380CC4-5D6E-409C-BE32-E72D297353CC}">
              <c16:uniqueId val="{00000002-BC9B-4C01-80A4-B7F553C60CE3}"/>
            </c:ext>
          </c:extLst>
        </c:ser>
        <c:ser>
          <c:idx val="3"/>
          <c:order val="3"/>
          <c:tx>
            <c:strRef>
              <c:f>'Over the Years'!$A$5</c:f>
              <c:strCache>
                <c:ptCount val="1"/>
                <c:pt idx="0">
                  <c:v>Ligue 1</c:v>
                </c:pt>
              </c:strCache>
            </c:strRef>
          </c:tx>
          <c:spPr>
            <a:ln w="22225" cap="rnd">
              <a:solidFill>
                <a:schemeClr val="accent4"/>
              </a:solidFill>
              <a:round/>
            </a:ln>
            <a:effectLst/>
          </c:spPr>
          <c:marker>
            <c:symbol val="none"/>
          </c:marker>
          <c:cat>
            <c:strRef>
              <c:f>'Over the Years'!$B$1:$S$1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'Over the Years'!$B$5:$S$5</c:f>
              <c:numCache>
                <c:formatCode>0.00%</c:formatCode>
                <c:ptCount val="18"/>
                <c:pt idx="0">
                  <c:v>0.36199999999999999</c:v>
                </c:pt>
                <c:pt idx="1">
                  <c:v>0.24683333333333335</c:v>
                </c:pt>
                <c:pt idx="2">
                  <c:v>0.93366666666666676</c:v>
                </c:pt>
                <c:pt idx="3">
                  <c:v>0.83750000000000002</c:v>
                </c:pt>
                <c:pt idx="4">
                  <c:v>0.92828571428571427</c:v>
                </c:pt>
                <c:pt idx="5">
                  <c:v>0.9318749999999999</c:v>
                </c:pt>
                <c:pt idx="6">
                  <c:v>0.90862500000000013</c:v>
                </c:pt>
                <c:pt idx="7">
                  <c:v>0.96862500000000007</c:v>
                </c:pt>
                <c:pt idx="8">
                  <c:v>0.92649999999999999</c:v>
                </c:pt>
                <c:pt idx="9">
                  <c:v>0.9182499999999999</c:v>
                </c:pt>
                <c:pt idx="10">
                  <c:v>0.89074999999999993</c:v>
                </c:pt>
                <c:pt idx="11">
                  <c:v>0.94037499999999996</c:v>
                </c:pt>
                <c:pt idx="12">
                  <c:v>0.92537500000000006</c:v>
                </c:pt>
                <c:pt idx="13">
                  <c:v>0.94528571428571428</c:v>
                </c:pt>
                <c:pt idx="14">
                  <c:v>0.9325714285714285</c:v>
                </c:pt>
                <c:pt idx="15">
                  <c:v>0.92242857142857149</c:v>
                </c:pt>
                <c:pt idx="16">
                  <c:v>0.94385714285714284</c:v>
                </c:pt>
                <c:pt idx="17">
                  <c:v>0.9365714285714285</c:v>
                </c:pt>
              </c:numCache>
            </c:numRef>
          </c:val>
          <c:smooth val="0"/>
          <c:extLst>
            <c:ext xmlns:c16="http://schemas.microsoft.com/office/drawing/2014/chart" uri="{C3380CC4-5D6E-409C-BE32-E72D297353CC}">
              <c16:uniqueId val="{00000003-BC9B-4C01-80A4-B7F553C60CE3}"/>
            </c:ext>
          </c:extLst>
        </c:ser>
        <c:ser>
          <c:idx val="4"/>
          <c:order val="4"/>
          <c:tx>
            <c:strRef>
              <c:f>'Over the Years'!$A$6</c:f>
              <c:strCache>
                <c:ptCount val="1"/>
                <c:pt idx="0">
                  <c:v>La Liga</c:v>
                </c:pt>
              </c:strCache>
            </c:strRef>
          </c:tx>
          <c:spPr>
            <a:ln w="22225" cap="rnd">
              <a:solidFill>
                <a:schemeClr val="accent5"/>
              </a:solidFill>
              <a:round/>
            </a:ln>
            <a:effectLst/>
          </c:spPr>
          <c:marker>
            <c:symbol val="none"/>
          </c:marker>
          <c:cat>
            <c:strRef>
              <c:f>'Over the Years'!$B$1:$S$1</c:f>
              <c:strCache>
                <c:ptCount val="18"/>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strCache>
            </c:strRef>
          </c:cat>
          <c:val>
            <c:numRef>
              <c:f>'Over the Years'!$B$6:$S$6</c:f>
              <c:numCache>
                <c:formatCode>0.00%</c:formatCode>
                <c:ptCount val="18"/>
                <c:pt idx="0">
                  <c:v>0.38619999999999999</c:v>
                </c:pt>
                <c:pt idx="1">
                  <c:v>0.35733333333333334</c:v>
                </c:pt>
                <c:pt idx="2">
                  <c:v>0.92633333333333334</c:v>
                </c:pt>
                <c:pt idx="3">
                  <c:v>0.85049999999999992</c:v>
                </c:pt>
                <c:pt idx="4">
                  <c:v>0.93228571428571427</c:v>
                </c:pt>
                <c:pt idx="5">
                  <c:v>0.93049999999999999</c:v>
                </c:pt>
                <c:pt idx="6">
                  <c:v>0.91637500000000005</c:v>
                </c:pt>
                <c:pt idx="7">
                  <c:v>0.96850000000000003</c:v>
                </c:pt>
                <c:pt idx="8">
                  <c:v>0.93899999999999995</c:v>
                </c:pt>
                <c:pt idx="9">
                  <c:v>0.93425000000000002</c:v>
                </c:pt>
                <c:pt idx="10">
                  <c:v>0.93799999999999994</c:v>
                </c:pt>
                <c:pt idx="11">
                  <c:v>0.93162499999999993</c:v>
                </c:pt>
                <c:pt idx="12">
                  <c:v>0.92574999999999996</c:v>
                </c:pt>
                <c:pt idx="13">
                  <c:v>0.91842857142857148</c:v>
                </c:pt>
                <c:pt idx="14">
                  <c:v>0.93771428571428572</c:v>
                </c:pt>
                <c:pt idx="15">
                  <c:v>0.9464285714285714</c:v>
                </c:pt>
                <c:pt idx="16">
                  <c:v>0.92928571428571427</c:v>
                </c:pt>
                <c:pt idx="17">
                  <c:v>0.94514285714285706</c:v>
                </c:pt>
              </c:numCache>
            </c:numRef>
          </c:val>
          <c:smooth val="0"/>
          <c:extLst>
            <c:ext xmlns:c16="http://schemas.microsoft.com/office/drawing/2014/chart" uri="{C3380CC4-5D6E-409C-BE32-E72D297353CC}">
              <c16:uniqueId val="{00000004-BC9B-4C01-80A4-B7F553C60CE3}"/>
            </c:ext>
          </c:extLst>
        </c:ser>
        <c:dLbls>
          <c:showLegendKey val="0"/>
          <c:showVal val="0"/>
          <c:showCatName val="0"/>
          <c:showSerName val="0"/>
          <c:showPercent val="0"/>
          <c:showBubbleSize val="0"/>
        </c:dLbls>
        <c:smooth val="0"/>
        <c:axId val="427286200"/>
        <c:axId val="431125256"/>
      </c:lineChart>
      <c:catAx>
        <c:axId val="42728620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31125256"/>
        <c:crosses val="autoZero"/>
        <c:auto val="1"/>
        <c:lblAlgn val="ctr"/>
        <c:lblOffset val="100"/>
        <c:noMultiLvlLbl val="0"/>
      </c:catAx>
      <c:valAx>
        <c:axId val="431125256"/>
        <c:scaling>
          <c:orientation val="minMax"/>
          <c:max val="1"/>
          <c:min val="0.2"/>
        </c:scaling>
        <c:delete val="0"/>
        <c:axPos val="l"/>
        <c:majorGridlines>
          <c:spPr>
            <a:ln w="9525" cap="flat" cmpd="sng" algn="ctr">
              <a:solidFill>
                <a:schemeClr val="dk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2728620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'Company Performance'!$B$1:$B$2</c:f>
              <c:strCache>
                <c:ptCount val="2"/>
                <c:pt idx="0">
                  <c:v>BPL</c:v>
                </c:pt>
              </c:strCache>
            </c:strRef>
          </c:tx>
          <c:spPr>
            <a:solidFill>
              <a:schemeClr val="accent1"/>
            </a:solidFill>
            <a:ln>
              <a:noFill/>
            </a:ln>
            <a:effectLst/>
          </c:spPr>
          <c:invertIfNegative val="0"/>
          <c:cat>
            <c:strRef>
              <c:f>'Company Performance'!$A$3:$A$12</c:f>
              <c:strCache>
                <c:ptCount val="10"/>
                <c:pt idx="0">
                  <c:v>Comp 1</c:v>
                </c:pt>
                <c:pt idx="1">
                  <c:v>Comp2</c:v>
                </c:pt>
                <c:pt idx="2">
                  <c:v>Comp3</c:v>
                </c:pt>
                <c:pt idx="3">
                  <c:v>Comp4</c:v>
                </c:pt>
                <c:pt idx="4">
                  <c:v>Comp5</c:v>
                </c:pt>
                <c:pt idx="5">
                  <c:v>Comp6</c:v>
                </c:pt>
                <c:pt idx="6">
                  <c:v>Comp7</c:v>
                </c:pt>
                <c:pt idx="7">
                  <c:v>Comp8</c:v>
                </c:pt>
                <c:pt idx="8">
                  <c:v>Comp9</c:v>
                </c:pt>
                <c:pt idx="9">
                  <c:v>Comp10</c:v>
                </c:pt>
              </c:strCache>
            </c:strRef>
          </c:cat>
          <c:val>
            <c:numRef>
              <c:f>'Company Performance'!$B$3:$B$12</c:f>
              <c:numCache>
                <c:formatCode>0.00%</c:formatCode>
                <c:ptCount val="10"/>
                <c:pt idx="0">
                  <c:v>0.90024999999999988</c:v>
                </c:pt>
                <c:pt idx="1">
                  <c:v>0.9275000000000001</c:v>
                </c:pt>
                <c:pt idx="2">
                  <c:v>0.88546153846153852</c:v>
                </c:pt>
                <c:pt idx="3">
                  <c:v>0.88761111111111102</c:v>
                </c:pt>
                <c:pt idx="4">
                  <c:v>0.87744444444444447</c:v>
                </c:pt>
                <c:pt idx="5">
                  <c:v>0.84991666666666665</c:v>
                </c:pt>
                <c:pt idx="6">
                  <c:v>0.92933333333333323</c:v>
                </c:pt>
                <c:pt idx="7">
                  <c:v>0.44299999999999995</c:v>
                </c:pt>
                <c:pt idx="8">
                  <c:v>0.87227777777777793</c:v>
                </c:pt>
                <c:pt idx="9">
                  <c:v>0.92969230769230771</c:v>
                </c:pt>
              </c:numCache>
            </c:numRef>
          </c:val>
          <c:extLst>
            <c:ext xmlns:c16="http://schemas.microsoft.com/office/drawing/2014/chart" uri="{C3380CC4-5D6E-409C-BE32-E72D297353CC}">
              <c16:uniqueId val="{00000000-A953-4730-9B2E-5959AFAEE207}"/>
            </c:ext>
          </c:extLst>
        </c:ser>
        <c:ser>
          <c:idx val="1"/>
          <c:order val="1"/>
          <c:tx>
            <c:strRef>
              <c:f>'Company Performance'!$C$1:$C$2</c:f>
              <c:strCache>
                <c:ptCount val="2"/>
                <c:pt idx="0">
                  <c:v>Serie A</c:v>
                </c:pt>
              </c:strCache>
            </c:strRef>
          </c:tx>
          <c:spPr>
            <a:solidFill>
              <a:schemeClr val="accent2"/>
            </a:solidFill>
            <a:ln>
              <a:noFill/>
            </a:ln>
            <a:effectLst/>
          </c:spPr>
          <c:invertIfNegative val="0"/>
          <c:cat>
            <c:strRef>
              <c:f>'Company Performance'!$A$3:$A$12</c:f>
              <c:strCache>
                <c:ptCount val="10"/>
                <c:pt idx="0">
                  <c:v>Comp 1</c:v>
                </c:pt>
                <c:pt idx="1">
                  <c:v>Comp2</c:v>
                </c:pt>
                <c:pt idx="2">
                  <c:v>Comp3</c:v>
                </c:pt>
                <c:pt idx="3">
                  <c:v>Comp4</c:v>
                </c:pt>
                <c:pt idx="4">
                  <c:v>Comp5</c:v>
                </c:pt>
                <c:pt idx="5">
                  <c:v>Comp6</c:v>
                </c:pt>
                <c:pt idx="6">
                  <c:v>Comp7</c:v>
                </c:pt>
                <c:pt idx="7">
                  <c:v>Comp8</c:v>
                </c:pt>
                <c:pt idx="8">
                  <c:v>Comp9</c:v>
                </c:pt>
                <c:pt idx="9">
                  <c:v>Comp10</c:v>
                </c:pt>
              </c:strCache>
            </c:strRef>
          </c:cat>
          <c:val>
            <c:numRef>
              <c:f>'Company Performance'!$C$3:$C$12</c:f>
              <c:numCache>
                <c:formatCode>0.00%</c:formatCode>
                <c:ptCount val="10"/>
                <c:pt idx="0">
                  <c:v>0.90275000000000016</c:v>
                </c:pt>
                <c:pt idx="1">
                  <c:v>0.93228571428571416</c:v>
                </c:pt>
                <c:pt idx="2">
                  <c:v>0.86484615384615382</c:v>
                </c:pt>
                <c:pt idx="3">
                  <c:v>0.87561111111111112</c:v>
                </c:pt>
                <c:pt idx="4">
                  <c:v>0.88077777777777788</c:v>
                </c:pt>
                <c:pt idx="5">
                  <c:v>0.84741666666666637</c:v>
                </c:pt>
                <c:pt idx="6">
                  <c:v>0.92016666666666669</c:v>
                </c:pt>
                <c:pt idx="7">
                  <c:v>0.39700000000000002</c:v>
                </c:pt>
                <c:pt idx="8">
                  <c:v>0.86888888888888904</c:v>
                </c:pt>
                <c:pt idx="9">
                  <c:v>0.92961538461538473</c:v>
                </c:pt>
              </c:numCache>
            </c:numRef>
          </c:val>
          <c:extLst>
            <c:ext xmlns:c16="http://schemas.microsoft.com/office/drawing/2014/chart" uri="{C3380CC4-5D6E-409C-BE32-E72D297353CC}">
              <c16:uniqueId val="{00000001-A953-4730-9B2E-5959AFAEE207}"/>
            </c:ext>
          </c:extLst>
        </c:ser>
        <c:ser>
          <c:idx val="2"/>
          <c:order val="2"/>
          <c:tx>
            <c:strRef>
              <c:f>'Company Performance'!$D$1:$D$2</c:f>
              <c:strCache>
                <c:ptCount val="2"/>
                <c:pt idx="0">
                  <c:v>Bundesliga</c:v>
                </c:pt>
              </c:strCache>
            </c:strRef>
          </c:tx>
          <c:spPr>
            <a:solidFill>
              <a:schemeClr val="accent3"/>
            </a:solidFill>
            <a:ln>
              <a:noFill/>
            </a:ln>
            <a:effectLst/>
          </c:spPr>
          <c:invertIfNegative val="0"/>
          <c:cat>
            <c:strRef>
              <c:f>'Company Performance'!$A$3:$A$12</c:f>
              <c:strCache>
                <c:ptCount val="10"/>
                <c:pt idx="0">
                  <c:v>Comp 1</c:v>
                </c:pt>
                <c:pt idx="1">
                  <c:v>Comp2</c:v>
                </c:pt>
                <c:pt idx="2">
                  <c:v>Comp3</c:v>
                </c:pt>
                <c:pt idx="3">
                  <c:v>Comp4</c:v>
                </c:pt>
                <c:pt idx="4">
                  <c:v>Comp5</c:v>
                </c:pt>
                <c:pt idx="5">
                  <c:v>Comp6</c:v>
                </c:pt>
                <c:pt idx="6">
                  <c:v>Comp7</c:v>
                </c:pt>
                <c:pt idx="7">
                  <c:v>Comp8</c:v>
                </c:pt>
                <c:pt idx="8">
                  <c:v>Comp9</c:v>
                </c:pt>
                <c:pt idx="9">
                  <c:v>Comp10</c:v>
                </c:pt>
              </c:strCache>
            </c:strRef>
          </c:cat>
          <c:val>
            <c:numRef>
              <c:f>'Company Performance'!$D$3:$D$12</c:f>
              <c:numCache>
                <c:formatCode>0.00%</c:formatCode>
                <c:ptCount val="10"/>
                <c:pt idx="0">
                  <c:v>0.90831250000000008</c:v>
                </c:pt>
                <c:pt idx="1">
                  <c:v>0.95007142857142846</c:v>
                </c:pt>
                <c:pt idx="2">
                  <c:v>0.87276923076923074</c:v>
                </c:pt>
                <c:pt idx="3">
                  <c:v>0.8940555555555556</c:v>
                </c:pt>
                <c:pt idx="4">
                  <c:v>0.89105555555555549</c:v>
                </c:pt>
                <c:pt idx="5">
                  <c:v>0.86816666666666675</c:v>
                </c:pt>
                <c:pt idx="6">
                  <c:v>0.94366666666666665</c:v>
                </c:pt>
                <c:pt idx="7">
                  <c:v>0.45500000000000002</c:v>
                </c:pt>
                <c:pt idx="8">
                  <c:v>0.90438888888888913</c:v>
                </c:pt>
                <c:pt idx="9">
                  <c:v>0.93599999999999983</c:v>
                </c:pt>
              </c:numCache>
            </c:numRef>
          </c:val>
          <c:extLst>
            <c:ext xmlns:c16="http://schemas.microsoft.com/office/drawing/2014/chart" uri="{C3380CC4-5D6E-409C-BE32-E72D297353CC}">
              <c16:uniqueId val="{00000002-A953-4730-9B2E-5959AFAEE207}"/>
            </c:ext>
          </c:extLst>
        </c:ser>
        <c:ser>
          <c:idx val="3"/>
          <c:order val="3"/>
          <c:tx>
            <c:strRef>
              <c:f>'Company Performance'!$E$1:$E$2</c:f>
              <c:strCache>
                <c:ptCount val="2"/>
                <c:pt idx="0">
                  <c:v>Ligue 1</c:v>
                </c:pt>
              </c:strCache>
            </c:strRef>
          </c:tx>
          <c:spPr>
            <a:solidFill>
              <a:schemeClr val="accent4"/>
            </a:solidFill>
            <a:ln>
              <a:noFill/>
            </a:ln>
            <a:effectLst/>
          </c:spPr>
          <c:invertIfNegative val="0"/>
          <c:cat>
            <c:strRef>
              <c:f>'Company Performance'!$A$3:$A$12</c:f>
              <c:strCache>
                <c:ptCount val="10"/>
                <c:pt idx="0">
                  <c:v>Comp 1</c:v>
                </c:pt>
                <c:pt idx="1">
                  <c:v>Comp2</c:v>
                </c:pt>
                <c:pt idx="2">
                  <c:v>Comp3</c:v>
                </c:pt>
                <c:pt idx="3">
                  <c:v>Comp4</c:v>
                </c:pt>
                <c:pt idx="4">
                  <c:v>Comp5</c:v>
                </c:pt>
                <c:pt idx="5">
                  <c:v>Comp6</c:v>
                </c:pt>
                <c:pt idx="6">
                  <c:v>Comp7</c:v>
                </c:pt>
                <c:pt idx="7">
                  <c:v>Comp8</c:v>
                </c:pt>
                <c:pt idx="8">
                  <c:v>Comp9</c:v>
                </c:pt>
                <c:pt idx="9">
                  <c:v>Comp10</c:v>
                </c:pt>
              </c:strCache>
            </c:strRef>
          </c:cat>
          <c:val>
            <c:numRef>
              <c:f>'Company Performance'!$E$3:$E$12</c:f>
              <c:numCache>
                <c:formatCode>0.00%</c:formatCode>
                <c:ptCount val="10"/>
                <c:pt idx="0">
                  <c:v>0.89050000000000007</c:v>
                </c:pt>
                <c:pt idx="1">
                  <c:v>0.92871428571428571</c:v>
                </c:pt>
                <c:pt idx="2">
                  <c:v>0.83169230769230751</c:v>
                </c:pt>
                <c:pt idx="3">
                  <c:v>0.86161111111111122</c:v>
                </c:pt>
                <c:pt idx="4">
                  <c:v>0.85777777777777775</c:v>
                </c:pt>
                <c:pt idx="5">
                  <c:v>0.82208333333333317</c:v>
                </c:pt>
                <c:pt idx="6">
                  <c:v>0.93383333333333329</c:v>
                </c:pt>
                <c:pt idx="7">
                  <c:v>0.223</c:v>
                </c:pt>
                <c:pt idx="8">
                  <c:v>0.86477777777777787</c:v>
                </c:pt>
                <c:pt idx="9">
                  <c:v>0.93815384615384612</c:v>
                </c:pt>
              </c:numCache>
            </c:numRef>
          </c:val>
          <c:extLst>
            <c:ext xmlns:c16="http://schemas.microsoft.com/office/drawing/2014/chart" uri="{C3380CC4-5D6E-409C-BE32-E72D297353CC}">
              <c16:uniqueId val="{00000003-A953-4730-9B2E-5959AFAEE207}"/>
            </c:ext>
          </c:extLst>
        </c:ser>
        <c:ser>
          <c:idx val="4"/>
          <c:order val="4"/>
          <c:tx>
            <c:strRef>
              <c:f>'Company Performance'!$F$1:$F$2</c:f>
              <c:strCache>
                <c:ptCount val="2"/>
                <c:pt idx="0">
                  <c:v>La Liga</c:v>
                </c:pt>
              </c:strCache>
            </c:strRef>
          </c:tx>
          <c:spPr>
            <a:solidFill>
              <a:schemeClr val="accent5"/>
            </a:solidFill>
            <a:ln>
              <a:noFill/>
            </a:ln>
            <a:effectLst/>
          </c:spPr>
          <c:invertIfNegative val="0"/>
          <c:cat>
            <c:strRef>
              <c:f>'Company Performance'!$A$3:$A$12</c:f>
              <c:strCache>
                <c:ptCount val="10"/>
                <c:pt idx="0">
                  <c:v>Comp 1</c:v>
                </c:pt>
                <c:pt idx="1">
                  <c:v>Comp2</c:v>
                </c:pt>
                <c:pt idx="2">
                  <c:v>Comp3</c:v>
                </c:pt>
                <c:pt idx="3">
                  <c:v>Comp4</c:v>
                </c:pt>
                <c:pt idx="4">
                  <c:v>Comp5</c:v>
                </c:pt>
                <c:pt idx="5">
                  <c:v>Comp6</c:v>
                </c:pt>
                <c:pt idx="6">
                  <c:v>Comp7</c:v>
                </c:pt>
                <c:pt idx="7">
                  <c:v>Comp8</c:v>
                </c:pt>
                <c:pt idx="8">
                  <c:v>Comp9</c:v>
                </c:pt>
                <c:pt idx="9">
                  <c:v>Comp10</c:v>
                </c:pt>
              </c:strCache>
            </c:strRef>
          </c:cat>
          <c:val>
            <c:numRef>
              <c:f>'Company Performance'!$F$3:$F$12</c:f>
              <c:numCache>
                <c:formatCode>0.00%</c:formatCode>
                <c:ptCount val="10"/>
                <c:pt idx="0">
                  <c:v>0.90737500000000004</c:v>
                </c:pt>
                <c:pt idx="1">
                  <c:v>0.93700000000000006</c:v>
                </c:pt>
                <c:pt idx="2">
                  <c:v>0.84</c:v>
                </c:pt>
                <c:pt idx="3">
                  <c:v>0.8696666666666667</c:v>
                </c:pt>
                <c:pt idx="4">
                  <c:v>0.8743333333333333</c:v>
                </c:pt>
                <c:pt idx="5">
                  <c:v>0.84216666666666651</c:v>
                </c:pt>
                <c:pt idx="6">
                  <c:v>0.93533333333333324</c:v>
                </c:pt>
                <c:pt idx="7">
                  <c:v>0.377</c:v>
                </c:pt>
                <c:pt idx="8">
                  <c:v>0.87222222222222234</c:v>
                </c:pt>
                <c:pt idx="9">
                  <c:v>0.93307692307692303</c:v>
                </c:pt>
              </c:numCache>
            </c:numRef>
          </c:val>
          <c:extLst>
            <c:ext xmlns:c16="http://schemas.microsoft.com/office/drawing/2014/chart" uri="{C3380CC4-5D6E-409C-BE32-E72D297353CC}">
              <c16:uniqueId val="{00000004-A953-4730-9B2E-5959AFAEE207}"/>
            </c:ext>
          </c:extLst>
        </c:ser>
        <c:dLbls>
          <c:showLegendKey val="0"/>
          <c:showVal val="0"/>
          <c:showCatName val="0"/>
          <c:showSerName val="0"/>
          <c:showPercent val="0"/>
          <c:showBubbleSize val="0"/>
        </c:dLbls>
        <c:gapWidth val="219"/>
        <c:overlap val="-27"/>
        <c:axId val="435397392"/>
        <c:axId val="435392472"/>
      </c:barChart>
      <c:catAx>
        <c:axId val="43539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392472"/>
        <c:crosses val="autoZero"/>
        <c:auto val="1"/>
        <c:lblAlgn val="ctr"/>
        <c:lblOffset val="100"/>
        <c:noMultiLvlLbl val="0"/>
      </c:catAx>
      <c:valAx>
        <c:axId val="4353924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39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'Company Performance'!$B$18</c:f>
              <c:strCache>
                <c:ptCount val="1"/>
                <c:pt idx="0">
                  <c:v>BPL</c:v>
                </c:pt>
              </c:strCache>
            </c:strRef>
          </c:tx>
          <c:spPr>
            <a:solidFill>
              <a:schemeClr val="accent1"/>
            </a:solidFill>
            <a:ln>
              <a:noFill/>
            </a:ln>
            <a:effectLst/>
          </c:spPr>
          <c:invertIfNegative val="0"/>
          <c:cat>
            <c:strRef>
              <c:f>'Company Performance'!$A$19:$A$27</c:f>
              <c:strCache>
                <c:ptCount val="9"/>
                <c:pt idx="0">
                  <c:v>Comp 1</c:v>
                </c:pt>
                <c:pt idx="1">
                  <c:v>Comp2</c:v>
                </c:pt>
                <c:pt idx="2">
                  <c:v>Comp3</c:v>
                </c:pt>
                <c:pt idx="3">
                  <c:v>Comp4</c:v>
                </c:pt>
                <c:pt idx="4">
                  <c:v>Comp5</c:v>
                </c:pt>
                <c:pt idx="5">
                  <c:v>Comp6</c:v>
                </c:pt>
                <c:pt idx="6">
                  <c:v>Comp7</c:v>
                </c:pt>
                <c:pt idx="7">
                  <c:v>Comp9</c:v>
                </c:pt>
                <c:pt idx="8">
                  <c:v>Comp10</c:v>
                </c:pt>
              </c:strCache>
            </c:strRef>
          </c:cat>
          <c:val>
            <c:numRef>
              <c:f>'Company Performance'!$B$19:$B$27</c:f>
              <c:numCache>
                <c:formatCode>0.00%</c:formatCode>
                <c:ptCount val="9"/>
                <c:pt idx="0">
                  <c:v>0.90024999999999988</c:v>
                </c:pt>
                <c:pt idx="1">
                  <c:v>0.9275000000000001</c:v>
                </c:pt>
                <c:pt idx="2">
                  <c:v>0.88546153846153852</c:v>
                </c:pt>
                <c:pt idx="3">
                  <c:v>0.88761111111111102</c:v>
                </c:pt>
                <c:pt idx="4">
                  <c:v>0.87744444444444447</c:v>
                </c:pt>
                <c:pt idx="5">
                  <c:v>0.84991666666666665</c:v>
                </c:pt>
                <c:pt idx="6">
                  <c:v>0.92933333333333323</c:v>
                </c:pt>
                <c:pt idx="7">
                  <c:v>0.87227777777777793</c:v>
                </c:pt>
                <c:pt idx="8">
                  <c:v>0.92969230769230771</c:v>
                </c:pt>
              </c:numCache>
            </c:numRef>
          </c:val>
          <c:extLst>
            <c:ext xmlns:c16="http://schemas.microsoft.com/office/drawing/2014/chart" uri="{C3380CC4-5D6E-409C-BE32-E72D297353CC}">
              <c16:uniqueId val="{00000000-4F72-4914-9309-A717AD065B6A}"/>
            </c:ext>
          </c:extLst>
        </c:ser>
        <c:ser>
          <c:idx val="1"/>
          <c:order val="1"/>
          <c:tx>
            <c:strRef>
              <c:f>'Company Performance'!$C$18</c:f>
              <c:strCache>
                <c:ptCount val="1"/>
                <c:pt idx="0">
                  <c:v>Serie A</c:v>
                </c:pt>
              </c:strCache>
            </c:strRef>
          </c:tx>
          <c:spPr>
            <a:solidFill>
              <a:schemeClr val="accent2"/>
            </a:solidFill>
            <a:ln>
              <a:noFill/>
            </a:ln>
            <a:effectLst/>
          </c:spPr>
          <c:invertIfNegative val="0"/>
          <c:cat>
            <c:strRef>
              <c:f>'Company Performance'!$A$19:$A$27</c:f>
              <c:strCache>
                <c:ptCount val="9"/>
                <c:pt idx="0">
                  <c:v>Comp 1</c:v>
                </c:pt>
                <c:pt idx="1">
                  <c:v>Comp2</c:v>
                </c:pt>
                <c:pt idx="2">
                  <c:v>Comp3</c:v>
                </c:pt>
                <c:pt idx="3">
                  <c:v>Comp4</c:v>
                </c:pt>
                <c:pt idx="4">
                  <c:v>Comp5</c:v>
                </c:pt>
                <c:pt idx="5">
                  <c:v>Comp6</c:v>
                </c:pt>
                <c:pt idx="6">
                  <c:v>Comp7</c:v>
                </c:pt>
                <c:pt idx="7">
                  <c:v>Comp9</c:v>
                </c:pt>
                <c:pt idx="8">
                  <c:v>Comp10</c:v>
                </c:pt>
              </c:strCache>
            </c:strRef>
          </c:cat>
          <c:val>
            <c:numRef>
              <c:f>'Company Performance'!$C$19:$C$27</c:f>
              <c:numCache>
                <c:formatCode>0.00%</c:formatCode>
                <c:ptCount val="9"/>
                <c:pt idx="0">
                  <c:v>0.90275000000000016</c:v>
                </c:pt>
                <c:pt idx="1">
                  <c:v>0.93228571428571416</c:v>
                </c:pt>
                <c:pt idx="2">
                  <c:v>0.86484615384615382</c:v>
                </c:pt>
                <c:pt idx="3">
                  <c:v>0.87561111111111112</c:v>
                </c:pt>
                <c:pt idx="4">
                  <c:v>0.88077777777777788</c:v>
                </c:pt>
                <c:pt idx="5">
                  <c:v>0.84741666666666637</c:v>
                </c:pt>
                <c:pt idx="6">
                  <c:v>0.92016666666666669</c:v>
                </c:pt>
                <c:pt idx="7">
                  <c:v>0.86888888888888904</c:v>
                </c:pt>
                <c:pt idx="8">
                  <c:v>0.92961538461538473</c:v>
                </c:pt>
              </c:numCache>
            </c:numRef>
          </c:val>
          <c:extLst>
            <c:ext xmlns:c16="http://schemas.microsoft.com/office/drawing/2014/chart" uri="{C3380CC4-5D6E-409C-BE32-E72D297353CC}">
              <c16:uniqueId val="{00000001-4F72-4914-9309-A717AD065B6A}"/>
            </c:ext>
          </c:extLst>
        </c:ser>
        <c:ser>
          <c:idx val="2"/>
          <c:order val="2"/>
          <c:tx>
            <c:strRef>
              <c:f>'Company Performance'!$D$18</c:f>
              <c:strCache>
                <c:ptCount val="1"/>
                <c:pt idx="0">
                  <c:v>Bundesliga</c:v>
                </c:pt>
              </c:strCache>
            </c:strRef>
          </c:tx>
          <c:spPr>
            <a:solidFill>
              <a:schemeClr val="accent3"/>
            </a:solidFill>
            <a:ln>
              <a:noFill/>
            </a:ln>
            <a:effectLst/>
          </c:spPr>
          <c:invertIfNegative val="0"/>
          <c:cat>
            <c:strRef>
              <c:f>'Company Performance'!$A$19:$A$27</c:f>
              <c:strCache>
                <c:ptCount val="9"/>
                <c:pt idx="0">
                  <c:v>Comp 1</c:v>
                </c:pt>
                <c:pt idx="1">
                  <c:v>Comp2</c:v>
                </c:pt>
                <c:pt idx="2">
                  <c:v>Comp3</c:v>
                </c:pt>
                <c:pt idx="3">
                  <c:v>Comp4</c:v>
                </c:pt>
                <c:pt idx="4">
                  <c:v>Comp5</c:v>
                </c:pt>
                <c:pt idx="5">
                  <c:v>Comp6</c:v>
                </c:pt>
                <c:pt idx="6">
                  <c:v>Comp7</c:v>
                </c:pt>
                <c:pt idx="7">
                  <c:v>Comp9</c:v>
                </c:pt>
                <c:pt idx="8">
                  <c:v>Comp10</c:v>
                </c:pt>
              </c:strCache>
            </c:strRef>
          </c:cat>
          <c:val>
            <c:numRef>
              <c:f>'Company Performance'!$D$19:$D$27</c:f>
              <c:numCache>
                <c:formatCode>0.00%</c:formatCode>
                <c:ptCount val="9"/>
                <c:pt idx="0">
                  <c:v>0.90831250000000008</c:v>
                </c:pt>
                <c:pt idx="1">
                  <c:v>0.95007142857142846</c:v>
                </c:pt>
                <c:pt idx="2">
                  <c:v>0.87276923076923074</c:v>
                </c:pt>
                <c:pt idx="3">
                  <c:v>0.8940555555555556</c:v>
                </c:pt>
                <c:pt idx="4">
                  <c:v>0.89105555555555549</c:v>
                </c:pt>
                <c:pt idx="5">
                  <c:v>0.86816666666666675</c:v>
                </c:pt>
                <c:pt idx="6">
                  <c:v>0.94366666666666665</c:v>
                </c:pt>
                <c:pt idx="7">
                  <c:v>0.90438888888888913</c:v>
                </c:pt>
                <c:pt idx="8">
                  <c:v>0.93599999999999983</c:v>
                </c:pt>
              </c:numCache>
            </c:numRef>
          </c:val>
          <c:extLst>
            <c:ext xmlns:c16="http://schemas.microsoft.com/office/drawing/2014/chart" uri="{C3380CC4-5D6E-409C-BE32-E72D297353CC}">
              <c16:uniqueId val="{00000002-4F72-4914-9309-A717AD065B6A}"/>
            </c:ext>
          </c:extLst>
        </c:ser>
        <c:ser>
          <c:idx val="3"/>
          <c:order val="3"/>
          <c:tx>
            <c:strRef>
              <c:f>'Company Performance'!$E$18</c:f>
              <c:strCache>
                <c:ptCount val="1"/>
                <c:pt idx="0">
                  <c:v>Ligue 1</c:v>
                </c:pt>
              </c:strCache>
            </c:strRef>
          </c:tx>
          <c:spPr>
            <a:solidFill>
              <a:schemeClr val="accent4"/>
            </a:solidFill>
            <a:ln>
              <a:noFill/>
            </a:ln>
            <a:effectLst/>
          </c:spPr>
          <c:invertIfNegative val="0"/>
          <c:cat>
            <c:strRef>
              <c:f>'Company Performance'!$A$19:$A$27</c:f>
              <c:strCache>
                <c:ptCount val="9"/>
                <c:pt idx="0">
                  <c:v>Comp 1</c:v>
                </c:pt>
                <c:pt idx="1">
                  <c:v>Comp2</c:v>
                </c:pt>
                <c:pt idx="2">
                  <c:v>Comp3</c:v>
                </c:pt>
                <c:pt idx="3">
                  <c:v>Comp4</c:v>
                </c:pt>
                <c:pt idx="4">
                  <c:v>Comp5</c:v>
                </c:pt>
                <c:pt idx="5">
                  <c:v>Comp6</c:v>
                </c:pt>
                <c:pt idx="6">
                  <c:v>Comp7</c:v>
                </c:pt>
                <c:pt idx="7">
                  <c:v>Comp9</c:v>
                </c:pt>
                <c:pt idx="8">
                  <c:v>Comp10</c:v>
                </c:pt>
              </c:strCache>
            </c:strRef>
          </c:cat>
          <c:val>
            <c:numRef>
              <c:f>'Company Performance'!$E$19:$E$27</c:f>
              <c:numCache>
                <c:formatCode>0.00%</c:formatCode>
                <c:ptCount val="9"/>
                <c:pt idx="0">
                  <c:v>0.89050000000000007</c:v>
                </c:pt>
                <c:pt idx="1">
                  <c:v>0.92871428571428571</c:v>
                </c:pt>
                <c:pt idx="2">
                  <c:v>0.83169230769230751</c:v>
                </c:pt>
                <c:pt idx="3">
                  <c:v>0.86161111111111122</c:v>
                </c:pt>
                <c:pt idx="4">
                  <c:v>0.85777777777777775</c:v>
                </c:pt>
                <c:pt idx="5">
                  <c:v>0.82208333333333317</c:v>
                </c:pt>
                <c:pt idx="6">
                  <c:v>0.93383333333333329</c:v>
                </c:pt>
                <c:pt idx="7">
                  <c:v>0.86477777777777787</c:v>
                </c:pt>
                <c:pt idx="8">
                  <c:v>0.93815384615384612</c:v>
                </c:pt>
              </c:numCache>
            </c:numRef>
          </c:val>
          <c:extLst>
            <c:ext xmlns:c16="http://schemas.microsoft.com/office/drawing/2014/chart" uri="{C3380CC4-5D6E-409C-BE32-E72D297353CC}">
              <c16:uniqueId val="{00000003-4F72-4914-9309-A717AD065B6A}"/>
            </c:ext>
          </c:extLst>
        </c:ser>
        <c:ser>
          <c:idx val="4"/>
          <c:order val="4"/>
          <c:tx>
            <c:strRef>
              <c:f>'Company Performance'!$F$18</c:f>
              <c:strCache>
                <c:ptCount val="1"/>
                <c:pt idx="0">
                  <c:v>La Liga</c:v>
                </c:pt>
              </c:strCache>
            </c:strRef>
          </c:tx>
          <c:spPr>
            <a:solidFill>
              <a:schemeClr val="accent5"/>
            </a:solidFill>
            <a:ln>
              <a:noFill/>
            </a:ln>
            <a:effectLst/>
          </c:spPr>
          <c:invertIfNegative val="0"/>
          <c:cat>
            <c:strRef>
              <c:f>'Company Performance'!$A$19:$A$27</c:f>
              <c:strCache>
                <c:ptCount val="9"/>
                <c:pt idx="0">
                  <c:v>Comp 1</c:v>
                </c:pt>
                <c:pt idx="1">
                  <c:v>Comp2</c:v>
                </c:pt>
                <c:pt idx="2">
                  <c:v>Comp3</c:v>
                </c:pt>
                <c:pt idx="3">
                  <c:v>Comp4</c:v>
                </c:pt>
                <c:pt idx="4">
                  <c:v>Comp5</c:v>
                </c:pt>
                <c:pt idx="5">
                  <c:v>Comp6</c:v>
                </c:pt>
                <c:pt idx="6">
                  <c:v>Comp7</c:v>
                </c:pt>
                <c:pt idx="7">
                  <c:v>Comp9</c:v>
                </c:pt>
                <c:pt idx="8">
                  <c:v>Comp10</c:v>
                </c:pt>
              </c:strCache>
            </c:strRef>
          </c:cat>
          <c:val>
            <c:numRef>
              <c:f>'Company Performance'!$F$19:$F$27</c:f>
              <c:numCache>
                <c:formatCode>0.00%</c:formatCode>
                <c:ptCount val="9"/>
                <c:pt idx="0">
                  <c:v>0.90737500000000004</c:v>
                </c:pt>
                <c:pt idx="1">
                  <c:v>0.93700000000000006</c:v>
                </c:pt>
                <c:pt idx="2">
                  <c:v>0.84</c:v>
                </c:pt>
                <c:pt idx="3">
                  <c:v>0.8696666666666667</c:v>
                </c:pt>
                <c:pt idx="4">
                  <c:v>0.8743333333333333</c:v>
                </c:pt>
                <c:pt idx="5">
                  <c:v>0.84216666666666651</c:v>
                </c:pt>
                <c:pt idx="6">
                  <c:v>0.93533333333333324</c:v>
                </c:pt>
                <c:pt idx="7">
                  <c:v>0.87222222222222234</c:v>
                </c:pt>
                <c:pt idx="8">
                  <c:v>0.93307692307692303</c:v>
                </c:pt>
              </c:numCache>
            </c:numRef>
          </c:val>
          <c:extLst>
            <c:ext xmlns:c16="http://schemas.microsoft.com/office/drawing/2014/chart" uri="{C3380CC4-5D6E-409C-BE32-E72D297353CC}">
              <c16:uniqueId val="{00000004-4F72-4914-9309-A717AD065B6A}"/>
            </c:ext>
          </c:extLst>
        </c:ser>
        <c:dLbls>
          <c:showLegendKey val="0"/>
          <c:showVal val="0"/>
          <c:showCatName val="0"/>
          <c:showSerName val="0"/>
          <c:showPercent val="0"/>
          <c:showBubbleSize val="0"/>
        </c:dLbls>
        <c:gapWidth val="219"/>
        <c:overlap val="-27"/>
        <c:axId val="435383944"/>
        <c:axId val="435389192"/>
      </c:barChart>
      <c:catAx>
        <c:axId val="435383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389192"/>
        <c:crosses val="autoZero"/>
        <c:auto val="1"/>
        <c:lblAlgn val="ctr"/>
        <c:lblOffset val="100"/>
        <c:noMultiLvlLbl val="0"/>
      </c:catAx>
      <c:valAx>
        <c:axId val="4353891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383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clustered"/>
        <c:varyColors val="0"/>
        <c:ser>
          <c:idx val="0"/>
          <c:order val="0"/>
          <c:tx>
            <c:strRef>
              <c:f>'NN VS DT'!$B$1</c:f>
              <c:strCache>
                <c:ptCount val="1"/>
                <c:pt idx="0">
                  <c:v>Neural Net</c:v>
                </c:pt>
              </c:strCache>
            </c:strRef>
          </c:tx>
          <c:spPr>
            <a:solidFill>
              <a:schemeClr val="accent1">
                <a:shade val="76000"/>
              </a:schemeClr>
            </a:solidFill>
            <a:ln>
              <a:noFill/>
            </a:ln>
            <a:effectLst/>
          </c:spPr>
          <c:invertIfNegative val="0"/>
          <c:cat>
            <c:strRef>
              <c:f>'NN VS DT'!$A$2:$A$6</c:f>
              <c:strCache>
                <c:ptCount val="5"/>
                <c:pt idx="0">
                  <c:v>BPL</c:v>
                </c:pt>
                <c:pt idx="1">
                  <c:v>Serie A</c:v>
                </c:pt>
                <c:pt idx="2">
                  <c:v>Bundesliga</c:v>
                </c:pt>
                <c:pt idx="3">
                  <c:v>Ligue 1</c:v>
                </c:pt>
                <c:pt idx="4">
                  <c:v>La Liga</c:v>
                </c:pt>
              </c:strCache>
            </c:strRef>
          </c:cat>
          <c:val>
            <c:numRef>
              <c:f>'NN VS DT'!$B$2:$B$6</c:f>
              <c:numCache>
                <c:formatCode>0.00%</c:formatCode>
                <c:ptCount val="5"/>
                <c:pt idx="0">
                  <c:v>0.87834821428571419</c:v>
                </c:pt>
                <c:pt idx="1">
                  <c:v>0.87102063492063486</c:v>
                </c:pt>
                <c:pt idx="2">
                  <c:v>0.88953167989417969</c:v>
                </c:pt>
                <c:pt idx="3">
                  <c:v>0.85552083333333329</c:v>
                </c:pt>
                <c:pt idx="4">
                  <c:v>0.8674251322751324</c:v>
                </c:pt>
              </c:numCache>
            </c:numRef>
          </c:val>
          <c:extLst>
            <c:ext xmlns:c16="http://schemas.microsoft.com/office/drawing/2014/chart" uri="{C3380CC4-5D6E-409C-BE32-E72D297353CC}">
              <c16:uniqueId val="{00000000-EEE6-4871-88AB-B9826B0C7B9B}"/>
            </c:ext>
          </c:extLst>
        </c:ser>
        <c:ser>
          <c:idx val="1"/>
          <c:order val="1"/>
          <c:tx>
            <c:strRef>
              <c:f>'NN VS DT'!$C$1</c:f>
              <c:strCache>
                <c:ptCount val="1"/>
                <c:pt idx="0">
                  <c:v>DT</c:v>
                </c:pt>
              </c:strCache>
            </c:strRef>
          </c:tx>
          <c:spPr>
            <a:solidFill>
              <a:schemeClr val="accent1">
                <a:tint val="77000"/>
              </a:schemeClr>
            </a:solidFill>
            <a:ln>
              <a:noFill/>
            </a:ln>
            <a:effectLst/>
          </c:spPr>
          <c:invertIfNegative val="0"/>
          <c:cat>
            <c:strRef>
              <c:f>'NN VS DT'!$A$2:$A$6</c:f>
              <c:strCache>
                <c:ptCount val="5"/>
                <c:pt idx="0">
                  <c:v>BPL</c:v>
                </c:pt>
                <c:pt idx="1">
                  <c:v>Serie A</c:v>
                </c:pt>
                <c:pt idx="2">
                  <c:v>Bundesliga</c:v>
                </c:pt>
                <c:pt idx="3">
                  <c:v>Ligue 1</c:v>
                </c:pt>
                <c:pt idx="4">
                  <c:v>La Liga</c:v>
                </c:pt>
              </c:strCache>
            </c:strRef>
          </c:cat>
          <c:val>
            <c:numRef>
              <c:f>'NN VS DT'!$C$2:$C$6</c:f>
              <c:numCache>
                <c:formatCode>0.00%</c:formatCode>
                <c:ptCount val="5"/>
                <c:pt idx="0">
                  <c:v>0.47441197089947085</c:v>
                </c:pt>
                <c:pt idx="1">
                  <c:v>0.46579715608465605</c:v>
                </c:pt>
                <c:pt idx="2">
                  <c:v>0.43331514550264555</c:v>
                </c:pt>
                <c:pt idx="3">
                  <c:v>0.42430000000000001</c:v>
                </c:pt>
                <c:pt idx="4">
                  <c:v>0.45939999999999998</c:v>
                </c:pt>
              </c:numCache>
            </c:numRef>
          </c:val>
          <c:extLst>
            <c:ext xmlns:c16="http://schemas.microsoft.com/office/drawing/2014/chart" uri="{C3380CC4-5D6E-409C-BE32-E72D297353CC}">
              <c16:uniqueId val="{00000001-EEE6-4871-88AB-B9826B0C7B9B}"/>
            </c:ext>
          </c:extLst>
        </c:ser>
        <c:dLbls>
          <c:showLegendKey val="0"/>
          <c:showVal val="0"/>
          <c:showCatName val="0"/>
          <c:showSerName val="0"/>
          <c:showPercent val="0"/>
          <c:showBubbleSize val="0"/>
        </c:dLbls>
        <c:gapWidth val="267"/>
        <c:overlap val="-43"/>
        <c:axId val="307167840"/>
        <c:axId val="432827824"/>
      </c:barChart>
      <c:catAx>
        <c:axId val="30716784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32827824"/>
        <c:crosses val="autoZero"/>
        <c:auto val="1"/>
        <c:lblAlgn val="ctr"/>
        <c:lblOffset val="100"/>
        <c:noMultiLvlLbl val="0"/>
      </c:catAx>
      <c:valAx>
        <c:axId val="432827824"/>
        <c:scaling>
          <c:orientation val="minMax"/>
        </c:scaling>
        <c:delete val="0"/>
        <c:axPos val="l"/>
        <c:majorGridlines>
          <c:spPr>
            <a:ln w="9525" cap="flat" cmpd="sng" algn="ctr">
              <a:solidFill>
                <a:schemeClr val="dk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0716784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Geordey Lawrence Gatt</dc:creator>
  <cp:keywords/>
  <dc:description/>
  <cp:lastModifiedBy>Geordey Lawrence Gatt</cp:lastModifiedBy>
  <cp:revision>2</cp:revision>
  <dcterms:created xsi:type="dcterms:W3CDTF">2019-05-24T21:47:00Z</dcterms:created>
  <dcterms:modified xsi:type="dcterms:W3CDTF">2019-05-24T21:47:00Z</dcterms:modified>
</cp:coreProperties>
</file>