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Noto Sans" w:hAnsi="Noto Sans" w:eastAsia="Noto Sans"/>
          <w:b/>
          <w:color w:val="287C58"/>
          <w:sz w:val="22"/>
        </w:rPr>
        <w:t>PTIT NITS</w:t>
      </w:r>
    </w:p>
    <w:p>
      <w:pPr>
        <w:spacing w:before="0" w:after="60" w:line="276" w:lineRule="auto"/>
        <w:jc w:val="center"/>
      </w:pPr>
      <w:r>
        <w:rPr>
          <w:rFonts w:ascii="Noto Sans" w:hAnsi="Noto Sans" w:eastAsia="Noto Sans"/>
          <w:b/>
          <w:color w:val="102A38"/>
          <w:sz w:val="54"/>
        </w:rPr>
        <w:t>HỆ MÀU WEBSITE &amp; LIQUID GLASS</w:t>
      </w:r>
    </w:p>
    <w:p>
      <w:pPr>
        <w:spacing w:before="0" w:after="240" w:line="276" w:lineRule="auto"/>
        <w:jc w:val="center"/>
      </w:pPr>
      <w:r>
        <w:rPr>
          <w:rFonts w:ascii="Noto Sans" w:hAnsi="Noto Sans" w:eastAsia="Noto Sans"/>
          <w:color w:val="536977"/>
          <w:sz w:val="21"/>
        </w:rPr>
        <w:t>Tài liệu tổng hợp màu sắc theo logo, vai trò UI và 10 nhóm thành phần website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23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it_nits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23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276" w:lineRule="auto"/>
        <w:jc w:val="center"/>
      </w:pPr>
      <w:r>
        <w:rPr>
          <w:rFonts w:ascii="Noto Sans" w:hAnsi="Noto Sans" w:eastAsia="Noto Sans"/>
          <w:b/>
          <w:color w:val="102A38"/>
          <w:sz w:val="20"/>
        </w:rPr>
        <w:t>Signature palette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584"/>
            <w:shd w:fill="35B3DC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Brand Cyan</w:t>
              <w:br/>
              <w:t>#35B3DC</w:t>
            </w:r>
          </w:p>
        </w:tc>
        <w:tc>
          <w:tcPr>
            <w:tcW w:type="dxa" w:w="1584"/>
            <w:shd w:fill="168FB8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Cyan Strong</w:t>
              <w:br/>
              <w:t>#168FB8</w:t>
            </w:r>
          </w:p>
        </w:tc>
        <w:tc>
          <w:tcPr>
            <w:tcW w:type="dxa" w:w="1584"/>
            <w:shd w:fill="44AA78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Brand Green</w:t>
              <w:br/>
              <w:t>#44AA78</w:t>
            </w:r>
          </w:p>
        </w:tc>
        <w:tc>
          <w:tcPr>
            <w:tcW w:type="dxa" w:w="1584"/>
            <w:shd w:fill="287C58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Green Strong</w:t>
              <w:br/>
              <w:t>#287C58</w:t>
            </w:r>
          </w:p>
        </w:tc>
        <w:tc>
          <w:tcPr>
            <w:tcW w:type="dxa" w:w="1584"/>
            <w:shd w:fill="86D7B1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02A38"/>
                <w:sz w:val="14"/>
              </w:rPr>
              <w:t>Mint</w:t>
              <w:br/>
              <w:t>#86D7B1</w:t>
            </w:r>
          </w:p>
        </w:tc>
        <w:tc>
          <w:tcPr>
            <w:tcW w:type="dxa" w:w="1584"/>
            <w:shd w:fill="102A38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4"/>
              </w:rPr>
              <w:t>Deep Navy</w:t>
              <w:br/>
              <w:t>#102A38</w:t>
            </w:r>
          </w:p>
        </w:tc>
      </w:tr>
    </w:tbl>
    <w:p>
      <w:pPr>
        <w:spacing w:before="240" w:after="0" w:line="276" w:lineRule="auto"/>
        <w:jc w:val="center"/>
      </w:pPr>
      <w:r>
        <w:rPr>
          <w:rFonts w:ascii="Noto Sans" w:hAnsi="Noto Sans" w:eastAsia="Noto Sans"/>
          <w:b/>
          <w:color w:val="168FB8"/>
          <w:sz w:val="19"/>
        </w:rPr>
        <w:t>Nguyên tắc phân bổ: 70% Navy/White  •  20% Cyan  •  10% Green/Mint</w:t>
      </w:r>
    </w:p>
    <w:p>
      <w:r>
        <w:br/>
      </w:r>
    </w:p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1. Hệ màu cốt lõi</w:t>
      </w:r>
    </w:p>
    <w:p>
      <w:pPr>
        <w:spacing w:before="0" w:after="140" w:line="276" w:lineRule="auto"/>
      </w:pPr>
      <w:r>
        <w:t>Mục tiêu là giữ website học thuật và cao cấp, trong khi logo vẫn được nhận diện rõ. Cyan đóng vai trò màu tương tác/công nghệ; Green đại diện nghiên cứu, tăng trưởng và trạng thái tích cực; Navy làm nền tảng typography và độ tương phản.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</w:t>
            </w:r>
          </w:p>
        </w:tc>
        <w:tc>
          <w:tcPr>
            <w:tcW w:type="dxa" w:w="2613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613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Vai trò</w:t>
            </w:r>
          </w:p>
        </w:tc>
        <w:tc>
          <w:tcPr>
            <w:tcW w:type="dxa" w:w="2613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Swatch</w:t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Brand Cyan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#35B3DC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Link, active, icon, interactive</w:t>
            </w:r>
          </w:p>
        </w:tc>
        <w:tc>
          <w:tcPr>
            <w:tcW w:type="dxa" w:w="2613"/>
            <w:shd w:fill="35B3DC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Cyan Strong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#168FB8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Hover, active mạnh, text accent</w:t>
            </w:r>
          </w:p>
        </w:tc>
        <w:tc>
          <w:tcPr>
            <w:tcW w:type="dxa" w:w="2613"/>
            <w:shd w:fill="168FB8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Brand Green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#44AA78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Research, badge, secondary accent</w:t>
            </w:r>
          </w:p>
        </w:tc>
        <w:tc>
          <w:tcPr>
            <w:tcW w:type="dxa" w:w="2613"/>
            <w:shd w:fill="44AA78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Green Strong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#287C58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Text xanh, hover phụ</w:t>
            </w:r>
          </w:p>
        </w:tc>
        <w:tc>
          <w:tcPr>
            <w:tcW w:type="dxa" w:w="2613"/>
            <w:shd w:fill="287C58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Mint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#86D7B1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Glow, decorative highlight</w:t>
            </w:r>
          </w:p>
        </w:tc>
        <w:tc>
          <w:tcPr>
            <w:tcW w:type="dxa" w:w="2613"/>
            <w:shd w:fill="86D7B1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Deep Navy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#102A38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Heading, text chính, footer</w:t>
            </w:r>
          </w:p>
        </w:tc>
        <w:tc>
          <w:tcPr>
            <w:tcW w:type="dxa" w:w="2613"/>
            <w:shd w:fill="102A38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Slate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#536977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Text phụ</w:t>
            </w:r>
          </w:p>
        </w:tc>
        <w:tc>
          <w:tcPr>
            <w:tcW w:type="dxa" w:w="2613"/>
            <w:shd w:fill="536977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Ice Blue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#EAF8FC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Background tint</w:t>
            </w:r>
          </w:p>
        </w:tc>
        <w:tc>
          <w:tcPr>
            <w:tcW w:type="dxa" w:w="2613"/>
            <w:shd w:fill="EAF8FC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  <w:tr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Mint White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#EDF9F3</w:t>
            </w:r>
          </w:p>
        </w:tc>
        <w:tc>
          <w:tcPr>
            <w:tcW w:type="dxa" w:w="261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  <w:t>Background tint</w:t>
            </w:r>
          </w:p>
        </w:tc>
        <w:tc>
          <w:tcPr>
            <w:tcW w:type="dxa" w:w="2613"/>
            <w:shd w:fill="EDF9F3"/>
            <w:vAlign w:val="center"/>
          </w:tcPr>
          <w:p>
            <w:r>
              <w:rPr>
                <w:rFonts w:ascii="Noto Sans" w:hAnsi="Noto Sans" w:eastAsia="Noto Sans"/>
                <w:color w:val="334D5C"/>
                <w:sz w:val="16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C"/>
            <w:tcBorders>
              <w:left w:val="single" w:sz="16" w:color="35B3DC"/>
            </w:tcBorders>
          </w:tcPr>
          <w:p>
            <w:pPr>
              <w:spacing w:before="0" w:after="0" w:line="276" w:lineRule="auto"/>
            </w:pPr>
            <w:r>
              <w:rPr>
                <w:rFonts w:ascii="Noto Sans" w:hAnsi="Noto Sans" w:eastAsia="Noto Sans"/>
                <w:color w:val="334D5C"/>
                <w:sz w:val="18"/>
              </w:rPr>
              <w:t>Signature gradient: linear-gradient(135deg, #159AD8 0%, #35B3DC 42–45%, #44AA78 100%). Chỉ dùng cho điểm nhấn quan trọng như CTA chính, hero keyword, active indicator và orbital core.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2. Điều hướng và nhận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Tên đầy đủ bên cạnh logo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#102A38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Giữ độ tin cậy học thuật, tránh dùng cyan cho toàn bộ chữ.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Menu mặc định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#536977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Trung tính, dễ đọc.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Menu active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Cyan mạnh để thể hiện trạng thái.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Underline hover/active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 → 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Gradient mảnh khoảng 2px.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Keyboard focus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Có thể dùng outline 2px + offset.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Primary button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Gradient Cyan → Green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Chữ trắng.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Outline button hover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rgba(53,179,220,.10)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Border #35B3DC.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Text link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Hover chuyển #287C58.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3. Hiệu ứng Liquid Glass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Glass surface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rgba(248,253,254,.62)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Nền trong suốt chính.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Glass border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rgba(53,179,220,.20)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Viền mặc định.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Glass border hover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rgba(53,179,220,.42)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Tăng tương phản khi hover.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Target/selected border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rgba(68,170,120,.45)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Dùng green để phân biệt selection.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Glass shadow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rgba(21,154,216,.10)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Bóng xanh nhẹ, không quá đậm.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Mouse reflection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Cyan + Mint radial glow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Ánh sáng theo vị trí chuột.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Publication/News/Metric pill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Blue/green tint rất nhẹ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Ưu tiên translucency hơn màu bão hòa.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C"/>
            <w:tcBorders>
              <w:left w:val="single" w:sz="16" w:color="35B3DC"/>
            </w:tcBorders>
          </w:tcPr>
          <w:p>
            <w:pPr>
              <w:spacing w:before="0" w:after="0" w:line="276" w:lineRule="auto"/>
            </w:pPr>
            <w:r>
              <w:rPr>
                <w:rFonts w:ascii="Noto Sans" w:hAnsi="Noto Sans" w:eastAsia="Noto Sans"/>
                <w:color w:val="334D5C"/>
                <w:sz w:val="18"/>
              </w:rPr>
              <w:t>Liquid Glass đẹp nhất khi phần lớn bề mặt gần trắng. Màu brand chỉ nên xuất hiện ở border, glow, interaction và vùng phản chiếu.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4. Con trỏ chuột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Cursor dot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Màu tương tác mặc định.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Cursor hover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Chuyển sang green trên interactive element.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Outer glow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rgba(53,179,220,.18)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Glow nhẹ.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Spotlight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rgba(53,179,220,.10)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Vùng sáng bám chuột.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Glass highlight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rgba(255,255,255,.55)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Phản xạ trắng trên kính.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5. Hero trang chủ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Phần chữ xanh trong tiêu đề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Gradient #159AD8 → #35B3DC → 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Chỉ highlight 1–3 từ quan trọng.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Eyebrow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#287C58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Tạo cảm giác học thuật hơn cyan.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Tag / icon nhỏ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 + tint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Border rgba(53,179,220,.20).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Hero link hover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#287C58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Chuyển cyan → green.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Dot grid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rgba(53,179,220,.14)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Rất nhẹ.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Sonar rings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rgba(53,179,220,.20)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Tạo chiều sâu.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Orbit line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rgba(68,170,120,.28)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Green làm secondary visual.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Technical divisions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rgba(16,42,56,.12)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Trung tính.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Node thường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Digital/technology.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Node nổi bật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Research/growth.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Core border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Gradient Cyan → Green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Điểm nhấn orbital.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Core fill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#102A38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Navy giúp glow nổi bật.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Light beam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Cyan → transparent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Không dùng opacity quá cao.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6. Research / Bento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Card index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Research = green.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Card icon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Interactive/technology.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Icon hover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Tạo chuyển trạng thái.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Target card border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rgba(68,170,120,.45)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Nhấn card đang focus/target.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Labels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#287C58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Green strong.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Caption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#536977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Text phụ.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Sparkle icon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Accent nhẹ.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Nexus badge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Cyan tint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Trạng thái bình thường.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Nexus active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Green tint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Active/selected.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Nexus glow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#86D7B1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Mint glow.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Matrix index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Đồng bộ research.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Matrix links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Clickable.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KPI divider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rgba(53,179,220,.18)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Mảnh và nhẹ.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KPI arrow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Action cue.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C"/>
            <w:tcBorders>
              <w:left w:val="single" w:sz="16" w:color="35B3DC"/>
            </w:tcBorders>
          </w:tcPr>
          <w:p>
            <w:pPr>
              <w:spacing w:before="0" w:after="0" w:line="276" w:lineRule="auto"/>
            </w:pPr>
            <w:r>
              <w:rPr>
                <w:rFonts w:ascii="Noto Sans" w:hAnsi="Noto Sans" w:eastAsia="Noto Sans"/>
                <w:color w:val="334D5C"/>
                <w:sz w:val="18"/>
              </w:rPr>
              <w:t>Visual language đề xuất: Blue = action/digital; Green = research/knowledge. Khi áp dụng nhất quán, người dùng sẽ “học” được hệ thống màu mà không cần giải thích.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7. Publications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Section eyebrow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Tạo nhịp green cho học thuật.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“Xem thêm”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Action link.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Card border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rgba(53,179,220,.14)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Hover tăng lên khoảng .38.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Publication number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Secondary accent.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Title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#102A38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Không dùng accent khi chưa hover.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Title hover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Cyan strong.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Arrow cạnh title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Digital action.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Venue label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#287C58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Nền rgba(68,170,120,.09).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Publication link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Consistent with global link.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Year heading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#102A38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Giữ hierarchy mạnh.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8. Director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Decorative line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Gradient Cyan → Green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Chỉ là đường nhấn.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Eyebrow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Research identity.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Tên Director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#102A38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Uy tín, tương phản cao.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Chức danh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#536977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Text phụ.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Links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Hover #287C58.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C"/>
            <w:tcBorders>
              <w:left w:val="single" w:sz="16" w:color="35B3DC"/>
            </w:tcBorders>
          </w:tcPr>
          <w:p>
            <w:pPr>
              <w:spacing w:before="0" w:after="0" w:line="276" w:lineRule="auto"/>
            </w:pPr>
            <w:r>
              <w:rPr>
                <w:rFonts w:ascii="Noto Sans" w:hAnsi="Noto Sans" w:eastAsia="Noto Sans"/>
                <w:color w:val="334D5C"/>
                <w:sz w:val="18"/>
              </w:rPr>
              <w:t>Director nên là khu vực ít màu hơn. Ảnh + typography là trọng tâm; màu brand chỉ đóng vai trò accent.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9. News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Date label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Nền rgba(53,179,220,.08).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Date border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rgba(53,179,220,.18)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Viền nhẹ.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Action arrow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Hover #44AA78.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Editorial arrow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Consistent action cue.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Editorial venue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#287C58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Green strong.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Archive badge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rgba(68,170,120,.10)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Tint green.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Archive dot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Active marker.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Chronicle node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Timeline marker.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Chronicle tag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#287C58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Research/news tag.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Title hover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Link state.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Timeline rail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rgba(53,179,220,.16)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Có thể gradient cyan → green.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10. Residency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Section gradient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Cyan tint + Green tint trên #F7FBFC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Hai radial gradient ở hai góc.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Hero CTA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Gradient Cyan → Green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CTA nổi bật.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Visual kicker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Green accent.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Statistics number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Cyan strong.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Track card icon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Cyan interaction.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Mentor position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#287C58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Green strong.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Mentor open button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#35B3DC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Action state.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Pagination active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Green selection.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Timeline date/time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Cyan strong.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CTA box border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Cyan glass / gradient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Không cần nền đậm.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Residency menu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#168FB8 → #44AA78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Cyan active, green hover.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11. Footer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Màu đề xuất</w:t>
            </w:r>
          </w:p>
        </w:tc>
        <w:tc>
          <w:tcPr>
            <w:tcW w:type="dxa" w:w="3485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Ghi chú sử dụng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Footer background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#102A38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Hoặc gradient #102A38 → #123A43.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Main text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#FFFFFF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Tương phản cao.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Secondary text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rgba(255,255,255,.62)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Giảm hierarchy.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Contact eyebrow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#86D7B1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Mint nổi trên navy.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Footer links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rgba(255,255,255,.72)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Hover #35B3DC.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Decorative line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Noto Sans" w:hAnsi="Noto Sans" w:eastAsia="Noto Sans"/>
                <w:b/>
                <w:color w:val="168FB8"/>
                <w:sz w:val="16"/>
              </w:rPr>
              <w:t>Gradient Cyan → Green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Noto Sans" w:hAnsi="Noto Sans" w:eastAsia="Noto Sans"/>
                <w:b w:val="0"/>
                <w:color w:val="334D5C"/>
                <w:sz w:val="16"/>
              </w:rPr>
              <w:t>Khóa nhận diện ở cuối trang.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12. Quy tắc phân bổ và hierarchy</w:t>
      </w:r>
    </w:p>
    <w:p>
      <w:pPr>
        <w:pStyle w:val="ListBullet"/>
        <w:spacing w:before="0" w:after="40" w:line="276" w:lineRule="auto"/>
      </w:pPr>
      <w:r>
        <w:t>70% Navy / White / neutral surfaces: typography, khoảng trắng, background và phần lớn card.</w:t>
      </w:r>
    </w:p>
    <w:p>
      <w:pPr>
        <w:pStyle w:val="ListBullet"/>
        <w:spacing w:before="0" w:after="40" w:line="276" w:lineRule="auto"/>
      </w:pPr>
      <w:r>
        <w:t>20% Cyan: interaction, active state, links, icon, cursor, sonar/orbital và UI feedback.</w:t>
      </w:r>
    </w:p>
    <w:p>
      <w:pPr>
        <w:pStyle w:val="ListBullet"/>
        <w:spacing w:before="0" w:after="40" w:line="276" w:lineRule="auto"/>
      </w:pPr>
      <w:r>
        <w:t>10% Green / Mint: research, selected state, badge, secondary accent và glow.</w:t>
      </w:r>
    </w:p>
    <w:p>
      <w:pPr>
        <w:pStyle w:val="ListBullet"/>
        <w:spacing w:before="0" w:after="40" w:line="276" w:lineRule="auto"/>
      </w:pPr>
      <w:r>
        <w:t>Không dùng gradient ở mọi nơi. Reserve signature gradient cho CTA chính, hero keyword, active indicator, orbital core và một vài decorative line.</w:t>
      </w:r>
    </w:p>
    <w:p>
      <w:pPr>
        <w:pStyle w:val="ListBullet"/>
        <w:spacing w:before="0" w:after="40" w:line="276" w:lineRule="auto"/>
      </w:pPr>
      <w:r>
        <w:t>Không dùng #35B3DC cho chữ nhỏ trên nền trắng nếu cần WCAG AA; ưu tiên #168FB8 hoặc #287C58 cho text.</w:t>
      </w:r>
    </w:p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13. CSS design tokens đề xuất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6F8"/>
            <w:tcBorders>
              <w:top w:val="single" w:sz="4" w:color="DCE7EC"/>
              <w:left w:val="single" w:sz="4" w:color="DCE7EC"/>
              <w:bottom w:val="single" w:sz="4" w:color="DCE7EC"/>
              <w:right w:val="single" w:sz="4" w:color="DCE7EC"/>
            </w:tcBorders>
          </w:tcPr>
          <w:p>
            <w:pPr/>
            <w:r>
              <w:rPr>
                <w:rFonts w:ascii="DejaVu Sans Mono" w:hAnsi="DejaVu Sans Mono" w:eastAsia="DejaVu Sans Mono"/>
                <w:color w:val="102A38"/>
                <w:sz w:val="16"/>
              </w:rPr>
              <w:br/>
              <w:t>:root {</w:t>
              <w:br/>
              <w:t xml:space="preserve">  /* Brand */</w:t>
              <w:br/>
              <w:t xml:space="preserve">  --brand-cyan: #35B3DC;</w:t>
              <w:br/>
              <w:t xml:space="preserve">  --brand-cyan-strong: #168FB8;</w:t>
              <w:br/>
              <w:t xml:space="preserve">  --brand-green: #44AA78;</w:t>
              <w:br/>
              <w:t xml:space="preserve">  --brand-green-strong: #287C58;</w:t>
              <w:br/>
              <w:t xml:space="preserve">  --brand-mint: #86D7B1;</w:t>
              <w:br/>
              <w:br/>
              <w:t xml:space="preserve">  /* Typography */</w:t>
              <w:br/>
              <w:t xml:space="preserve">  --ink: #102A38;</w:t>
              <w:br/>
              <w:t xml:space="preserve">  --text: #334D5C;</w:t>
              <w:br/>
              <w:t xml:space="preserve">  --text-muted: #6B7F8A;</w:t>
              <w:br/>
              <w:br/>
              <w:t xml:space="preserve">  /* Background */</w:t>
              <w:br/>
              <w:t xml:space="preserve">  --bg: #F7FBFC;</w:t>
              <w:br/>
              <w:t xml:space="preserve">  --bg-blue: #EAF8FC;</w:t>
              <w:br/>
              <w:t xml:space="preserve">  --bg-green: #EDF9F3;</w:t>
              <w:br/>
              <w:br/>
              <w:t xml:space="preserve">  /* Glass */</w:t>
              <w:br/>
              <w:t xml:space="preserve">  --glass-bg: rgba(248, 253, 254, .62);</w:t>
              <w:br/>
              <w:t xml:space="preserve">  --glass-border: rgba(53, 179, 220, .20);</w:t>
              <w:br/>
              <w:t xml:space="preserve">  --glass-border-hover: rgba(53, 179, 220, .42);</w:t>
              <w:br/>
              <w:br/>
              <w:t xml:space="preserve">  /* Glow */</w:t>
              <w:br/>
              <w:t xml:space="preserve">  --glow-cyan: rgba(53, 179, 220, .24);</w:t>
              <w:br/>
              <w:t xml:space="preserve">  --glow-green: rgba(68, 170, 120, .20);</w:t>
              <w:br/>
              <w:br/>
              <w:t xml:space="preserve">  /* Brand gradient */</w:t>
              <w:br/>
              <w:t xml:space="preserve">  --brand-gradient: linear-gradient(</w:t>
              <w:br/>
              <w:t xml:space="preserve">    135deg,</w:t>
              <w:br/>
              <w:t xml:space="preserve">    #159AD8 0%,</w:t>
              <w:br/>
              <w:t xml:space="preserve">    #35B3DC 45%,</w:t>
              <w:br/>
              <w:t xml:space="preserve">    #44AA78 100%</w:t>
              <w:br/>
              <w:t xml:space="preserve">  );</w:t>
              <w:br/>
              <w:t>}</w:t>
              <w:br/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14. Mẫu hiệu ứng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Hiệu ứng</w:t>
            </w:r>
          </w:p>
        </w:tc>
        <w:tc>
          <w:tcPr>
            <w:tcW w:type="dxa" w:w="5227"/>
            <w:shd w:fill="102A38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CSS / Giá trị</w:t>
            </w:r>
          </w:p>
        </w:tc>
      </w:tr>
      <w:tr>
        <w:tc>
          <w:tcPr>
            <w:tcW w:type="dxa" w:w="5227"/>
          </w:tcPr>
          <w:p>
            <w:r/>
            <w:r>
              <w:rPr>
                <w:rFonts w:ascii="Noto Sans" w:hAnsi="Noto Sans" w:eastAsia="Noto Sans"/>
                <w:b/>
                <w:color w:val="334D5C"/>
                <w:sz w:val="15"/>
              </w:rPr>
              <w:t>Signature gradient</w:t>
            </w:r>
          </w:p>
        </w:tc>
        <w:tc>
          <w:tcPr>
            <w:tcW w:type="dxa" w:w="5227"/>
          </w:tcPr>
          <w:p>
            <w:r/>
            <w:r>
              <w:rPr>
                <w:rFonts w:ascii="DejaVu Sans Mono" w:hAnsi="DejaVu Sans Mono" w:eastAsia="DejaVu Sans Mono"/>
                <w:b w:val="0"/>
                <w:color w:val="334D5C"/>
                <w:sz w:val="15"/>
              </w:rPr>
              <w:t>linear-gradient(135deg, #159AD8 0%, #35B3DC 42%, #44AA78 100%)</w:t>
            </w:r>
          </w:p>
        </w:tc>
      </w:tr>
      <w:tr>
        <w:tc>
          <w:tcPr>
            <w:tcW w:type="dxa" w:w="5227"/>
          </w:tcPr>
          <w:p>
            <w:r/>
            <w:r>
              <w:rPr>
                <w:rFonts w:ascii="Noto Sans" w:hAnsi="Noto Sans" w:eastAsia="Noto Sans"/>
                <w:b/>
                <w:color w:val="334D5C"/>
                <w:sz w:val="15"/>
              </w:rPr>
              <w:t>Mouse reflection</w:t>
            </w:r>
          </w:p>
        </w:tc>
        <w:tc>
          <w:tcPr>
            <w:tcW w:type="dxa" w:w="5227"/>
          </w:tcPr>
          <w:p>
            <w:r/>
            <w:r>
              <w:rPr>
                <w:rFonts w:ascii="DejaVu Sans Mono" w:hAnsi="DejaVu Sans Mono" w:eastAsia="DejaVu Sans Mono"/>
                <w:b w:val="0"/>
                <w:color w:val="334D5C"/>
                <w:sz w:val="15"/>
              </w:rPr>
              <w:t>radial-gradient(500px circle at var(--mouse-x) var(--mouse-y), rgba(53,179,220,.18), rgba(134,215,177,.08) 35%, transparent 65%)</w:t>
            </w:r>
          </w:p>
        </w:tc>
      </w:tr>
      <w:tr>
        <w:tc>
          <w:tcPr>
            <w:tcW w:type="dxa" w:w="5227"/>
          </w:tcPr>
          <w:p>
            <w:r/>
            <w:r>
              <w:rPr>
                <w:rFonts w:ascii="Noto Sans" w:hAnsi="Noto Sans" w:eastAsia="Noto Sans"/>
                <w:b/>
                <w:color w:val="334D5C"/>
                <w:sz w:val="15"/>
              </w:rPr>
              <w:t>Residency background</w:t>
            </w:r>
          </w:p>
        </w:tc>
        <w:tc>
          <w:tcPr>
            <w:tcW w:type="dxa" w:w="5227"/>
          </w:tcPr>
          <w:p>
            <w:r/>
            <w:r>
              <w:rPr>
                <w:rFonts w:ascii="DejaVu Sans Mono" w:hAnsi="DejaVu Sans Mono" w:eastAsia="DejaVu Sans Mono"/>
                <w:b w:val="0"/>
                <w:color w:val="334D5C"/>
                <w:sz w:val="15"/>
              </w:rPr>
              <w:t>radial-gradient(circle at 15% 20%, rgba(53,179,220,.13), transparent 36%), radial-gradient(circle at 85% 80%, rgba(68,170,120,.11), transparent 38%), #F7FBFC</w:t>
            </w:r>
          </w:p>
        </w:tc>
      </w:tr>
      <w:tr>
        <w:tc>
          <w:tcPr>
            <w:tcW w:type="dxa" w:w="5227"/>
          </w:tcPr>
          <w:p>
            <w:r/>
            <w:r>
              <w:rPr>
                <w:rFonts w:ascii="Noto Sans" w:hAnsi="Noto Sans" w:eastAsia="Noto Sans"/>
                <w:b/>
                <w:color w:val="334D5C"/>
                <w:sz w:val="15"/>
              </w:rPr>
              <w:t>Footer</w:t>
            </w:r>
          </w:p>
        </w:tc>
        <w:tc>
          <w:tcPr>
            <w:tcW w:type="dxa" w:w="5227"/>
          </w:tcPr>
          <w:p>
            <w:r/>
            <w:r>
              <w:rPr>
                <w:rFonts w:ascii="DejaVu Sans Mono" w:hAnsi="DejaVu Sans Mono" w:eastAsia="DejaVu Sans Mono"/>
                <w:b w:val="0"/>
                <w:color w:val="334D5C"/>
                <w:sz w:val="15"/>
              </w:rPr>
              <w:t>linear-gradient(135deg, #102A38, #123A43)</w:t>
            </w:r>
          </w:p>
        </w:tc>
      </w:tr>
    </w:tbl>
    <w:p>
      <w:pPr>
        <w:pStyle w:val="Heading1"/>
        <w:spacing w:before="160" w:after="100" w:line="276" w:lineRule="auto"/>
      </w:pPr>
      <w:r>
        <w:rPr>
          <w:rFonts w:ascii="Noto Sans" w:hAnsi="Noto Sans" w:eastAsia="Noto Sans"/>
          <w:b/>
          <w:color w:val="102A38"/>
          <w:sz w:val="36"/>
        </w:rPr>
        <w:t>15. Kết luận thiết kế</w:t>
      </w:r>
    </w:p>
    <w:p>
      <w:pPr>
        <w:spacing w:before="0" w:after="80" w:line="276" w:lineRule="auto"/>
      </w:pPr>
      <w:r>
        <w:t>Bộ màu Deep Navy + Cyan #35B3DC + Green #44AA78 + Mint tạo được sự liên kết trực tiếp với logo PTIT NITS nhưng vẫn đủ trưởng thành cho một website research lab. Dùng Navy/White làm nền tảng, Cyan cho công nghệ và tương tác, Green cho research/knowledge, Mint cho glow; signature gradient chỉ dành cho điểm nhấn chiến lược.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FC"/>
            <w:tcBorders>
              <w:left w:val="single" w:sz="16" w:color="35B3DC"/>
            </w:tcBorders>
          </w:tcPr>
          <w:p>
            <w:pPr>
              <w:spacing w:before="0" w:after="0" w:line="276" w:lineRule="auto"/>
            </w:pPr>
            <w:r>
              <w:rPr>
                <w:rFonts w:ascii="Noto Sans" w:hAnsi="Noto Sans" w:eastAsia="Noto Sans"/>
                <w:color w:val="334D5C"/>
                <w:sz w:val="18"/>
              </w:rPr>
              <w:t>Mục tiêu thị giác: “premium academic research lab” kết hợp Liquid Glass, chứ không phải giao diện nhiều màu. Màu brand nên làm người dùng nhận ra hệ thống, không lấn át nội dung.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6B7F8A"/>
        <w:sz w:val="15"/>
      </w:rPr>
      <w:t>PTIT NITS  •  Brand &amp; UI Color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/>
        <w:b/>
        <w:color w:val="168FB8"/>
        <w:sz w:val="16"/>
      </w:rPr>
      <w:t>PTIT NITS · VISUAL COLOR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334D5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02A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02A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02A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