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widowControl w:val="0"/>
        <w:suppressAutoHyphens/>
        <w:jc w:val="both"/>
        <w:rPr>
          <w:rFonts w:ascii="Times New Roman" w:hAnsi="Times New Roman" w:eastAsia="宋体"/>
          <w:b/>
          <w:bCs/>
          <w:kern w:val="2"/>
          <w:sz w:val="24"/>
          <w:szCs w:val="24"/>
          <w:u w:color="000000"/>
          <w:lang w:val="ru-RU"/>
        </w:rPr>
      </w:pPr>
      <w:r>
        <w:rPr>
          <w:rFonts w:ascii="Times New Roman" w:hAnsi="Times New Roman" w:eastAsia="宋体"/>
          <w:b/>
          <w:bCs/>
          <w:kern w:val="2"/>
          <w:sz w:val="24"/>
          <w:szCs w:val="24"/>
          <w:u w:color="000000"/>
          <w:lang w:val="ru-RU"/>
        </w:rPr>
        <w:t>Московский государственный технический университет им.Н.Э.Баумана</w:t>
      </w:r>
    </w:p>
    <w:p>
      <w:pPr>
        <w:pStyle w:val="4"/>
        <w:widowControl w:val="0"/>
        <w:suppressAutoHyphens/>
        <w:ind w:firstLine="482"/>
        <w:jc w:val="center"/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</w:pPr>
      <w:r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  <w:t>кафедра "Системы обработки информации и управления"</w:t>
      </w:r>
    </w:p>
    <w:p>
      <w:pPr>
        <w:pStyle w:val="4"/>
        <w:widowControl w:val="0"/>
        <w:suppressAutoHyphens/>
        <w:ind w:firstLine="482"/>
        <w:jc w:val="center"/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</w:pPr>
      <w:r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  <w:t xml:space="preserve"> </w:t>
      </w:r>
    </w:p>
    <w:p>
      <w:pPr>
        <w:pStyle w:val="4"/>
        <w:widowControl w:val="0"/>
        <w:suppressAutoHyphens/>
        <w:ind w:firstLine="482"/>
        <w:jc w:val="center"/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</w:pPr>
      <w:r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  <w:t xml:space="preserve"> </w:t>
      </w:r>
    </w:p>
    <w:p>
      <w:pPr>
        <w:pStyle w:val="4"/>
        <w:widowControl w:val="0"/>
        <w:suppressAutoHyphens/>
        <w:jc w:val="center"/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</w:pPr>
      <w:r>
        <w:rPr>
          <w:rFonts w:hint="eastAsia"/>
        </w:rPr>
        <w:drawing>
          <wp:inline distT="0" distB="0" distL="0" distR="0">
            <wp:extent cx="2221230" cy="2620010"/>
            <wp:effectExtent l="0" t="0" r="381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/>
          <w:bCs/>
          <w:kern w:val="2"/>
          <w:sz w:val="24"/>
          <w:szCs w:val="24"/>
          <w:u w:color="000000"/>
          <w:lang w:val="ru-RU"/>
        </w:rPr>
        <w:t xml:space="preserve"> </w:t>
      </w:r>
    </w:p>
    <w:p>
      <w:pPr>
        <w:pStyle w:val="4"/>
        <w:widowControl w:val="0"/>
        <w:suppressAutoHyphens/>
        <w:ind w:firstLine="723"/>
        <w:jc w:val="center"/>
        <w:rPr>
          <w:rFonts w:hint="eastAsia" w:ascii="Times New Roman" w:hAnsi="Times New Roman" w:cs="Times New Roman"/>
          <w:b/>
          <w:bCs/>
          <w:kern w:val="2"/>
          <w:sz w:val="36"/>
          <w:szCs w:val="36"/>
          <w:u w:color="000000"/>
          <w:lang w:val="ru-RU"/>
        </w:rPr>
      </w:pPr>
      <w:r>
        <w:rPr>
          <w:rFonts w:hint="eastAsia" w:ascii="Times New Roman" w:hAnsi="Times New Roman"/>
          <w:b/>
          <w:bCs/>
          <w:kern w:val="2"/>
          <w:sz w:val="36"/>
          <w:szCs w:val="36"/>
          <w:u w:color="000000"/>
          <w:lang w:val="ru-RU"/>
        </w:rPr>
        <w:t>Веб</w:t>
      </w:r>
      <w:r>
        <w:rPr>
          <w:rFonts w:ascii="Times New Roman" w:hAnsi="Times New Roman"/>
          <w:b/>
          <w:bCs/>
          <w:kern w:val="2"/>
          <w:sz w:val="36"/>
          <w:szCs w:val="36"/>
          <w:u w:color="000000"/>
          <w:lang w:val="ru-RU"/>
        </w:rPr>
        <w:t>-сервис по продажам автомобилей</w:t>
      </w:r>
    </w:p>
    <w:p>
      <w:pPr>
        <w:pStyle w:val="4"/>
        <w:widowControl w:val="0"/>
        <w:suppressAutoHyphens/>
        <w:ind w:firstLine="562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:u w:color="000000"/>
          <w:lang w:val="ru-RU"/>
        </w:rPr>
      </w:pPr>
      <w:r>
        <w:rPr>
          <w:rFonts w:ascii="Times New Roman" w:hAnsi="Times New Roman" w:cs="Times New Roman"/>
          <w:b/>
          <w:bCs/>
          <w:kern w:val="2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b/>
          <w:bCs/>
          <w:kern w:val="2"/>
          <w:sz w:val="36"/>
          <w:szCs w:val="36"/>
          <w:u w:color="000000"/>
          <w:lang w:val="ru-RU"/>
        </w:rPr>
        <w:t>Отчет</w:t>
      </w:r>
    </w:p>
    <w:p>
      <w:pPr>
        <w:pStyle w:val="4"/>
        <w:widowControl w:val="0"/>
        <w:suppressAutoHyphens/>
        <w:ind w:firstLine="560"/>
        <w:jc w:val="center"/>
        <w:rPr>
          <w:rFonts w:hint="eastAsia" w:ascii="Times New Roman" w:hAnsi="Times New Roman" w:eastAsia="Arial Unicode MS" w:cs="Times New Roman"/>
          <w:kern w:val="2"/>
          <w:sz w:val="28"/>
          <w:szCs w:val="28"/>
          <w:u w:color="000000"/>
          <w:lang w:val="en-US" w:eastAsia="zh-CN"/>
        </w:rPr>
      </w:pPr>
      <w:r>
        <w:rPr>
          <w:rFonts w:ascii="Times New Roman" w:hAnsi="Times New Roman"/>
          <w:kern w:val="2"/>
          <w:sz w:val="28"/>
          <w:szCs w:val="28"/>
          <w:u w:color="000000"/>
          <w:lang w:val="ru-RU"/>
        </w:rPr>
        <w:t>к лабораторной работе №</w:t>
      </w:r>
      <w:r>
        <w:rPr>
          <w:rFonts w:hint="eastAsia" w:ascii="Times New Roman" w:hAnsi="Times New Roman"/>
          <w:kern w:val="2"/>
          <w:sz w:val="28"/>
          <w:szCs w:val="28"/>
          <w:u w:color="000000"/>
          <w:lang w:val="en-US" w:eastAsia="zh-CN"/>
        </w:rPr>
        <w:t>5</w:t>
      </w:r>
    </w:p>
    <w:p>
      <w:pPr>
        <w:pStyle w:val="4"/>
        <w:widowControl w:val="0"/>
        <w:suppressAutoHyphens/>
        <w:ind w:firstLine="560"/>
        <w:jc w:val="center"/>
        <w:rPr>
          <w:rFonts w:hint="eastAsia" w:ascii="Times New Roman" w:hAnsi="Times New Roman" w:cs="Times New Roman"/>
          <w:kern w:val="2"/>
          <w:sz w:val="28"/>
          <w:szCs w:val="28"/>
          <w:u w:color="000000"/>
          <w:lang w:val="ru-RU"/>
        </w:rPr>
      </w:pPr>
      <w:r>
        <w:rPr>
          <w:rFonts w:ascii="Times New Roman" w:hAnsi="Times New Roman" w:cs="Times New Roman"/>
          <w:kern w:val="2"/>
          <w:sz w:val="28"/>
          <w:szCs w:val="28"/>
          <w:u w:color="000000"/>
          <w:lang w:val="ru-RU"/>
        </w:rPr>
        <w:t xml:space="preserve"> </w:t>
      </w:r>
    </w:p>
    <w:p>
      <w:pPr>
        <w:pStyle w:val="4"/>
        <w:widowControl w:val="0"/>
        <w:suppressAutoHyphens/>
        <w:wordWrap w:val="0"/>
        <w:ind w:firstLine="560"/>
        <w:jc w:val="right"/>
        <w:rPr>
          <w:rFonts w:hint="default" w:ascii="Times New Roman" w:hAnsi="Times New Roman" w:eastAsia="Arial Unicode MS" w:cs="Times New Roman"/>
          <w:kern w:val="2"/>
          <w:sz w:val="28"/>
          <w:szCs w:val="28"/>
          <w:u w:color="000000"/>
          <w:lang w:val="en-US" w:eastAsia="zh-CN"/>
        </w:rPr>
      </w:pPr>
      <w:r>
        <w:rPr>
          <w:rFonts w:ascii="Times New Roman" w:hAnsi="Times New Roman" w:cs="Times New Roman"/>
          <w:kern w:val="2"/>
          <w:sz w:val="28"/>
          <w:szCs w:val="28"/>
          <w:u w:color="000000"/>
          <w:lang w:val="ru-RU"/>
        </w:rPr>
        <w:t>Инструктор</w:t>
      </w:r>
      <w:r>
        <w:rPr>
          <w:rFonts w:ascii="Arial Unicode MS" w:hAnsi="Arial Unicode MS"/>
          <w:kern w:val="2"/>
          <w:sz w:val="28"/>
          <w:szCs w:val="28"/>
          <w:u w:color="000000"/>
          <w:lang w:val="ru-RU"/>
        </w:rPr>
        <w:t>：</w:t>
      </w:r>
      <w:r>
        <w:rPr>
          <w:rFonts w:ascii="Times New Roman" w:hAnsi="Times New Roman" w:cs="Times New Roman"/>
          <w:kern w:val="2"/>
          <w:sz w:val="28"/>
          <w:szCs w:val="28"/>
          <w:u w:color="000000"/>
          <w:lang w:val="ru-RU"/>
        </w:rPr>
        <w:t xml:space="preserve">Мария Валерьевна, </w:t>
      </w:r>
      <w:r>
        <w:rPr>
          <w:rFonts w:hint="eastAsia" w:ascii="Times New Roman" w:hAnsi="Times New Roman" w:cs="Times New Roman"/>
          <w:kern w:val="2"/>
          <w:sz w:val="28"/>
          <w:szCs w:val="28"/>
          <w:u w:color="000000"/>
        </w:rPr>
        <w:t>Elizaveta</w:t>
      </w:r>
      <w:r>
        <w:rPr>
          <w:rFonts w:hint="eastAsia" w:ascii="Times New Roman" w:hAnsi="Times New Roman" w:cs="Times New Roman"/>
          <w:kern w:val="2"/>
          <w:sz w:val="28"/>
          <w:szCs w:val="28"/>
          <w:u w:color="000000"/>
          <w:lang w:val="ru-RU"/>
        </w:rPr>
        <w:t xml:space="preserve"> </w:t>
      </w:r>
      <w:r>
        <w:rPr>
          <w:rFonts w:hint="eastAsia" w:ascii="Times New Roman" w:hAnsi="Times New Roman" w:cs="Times New Roman"/>
          <w:kern w:val="2"/>
          <w:sz w:val="28"/>
          <w:szCs w:val="28"/>
          <w:u w:color="000000"/>
        </w:rPr>
        <w:t>Eliseeva</w:t>
      </w:r>
      <w:r>
        <w:rPr>
          <w:rFonts w:hint="eastAsia" w:ascii="Times New Roman" w:hAnsi="Times New Roman" w:cs="Times New Roman"/>
          <w:kern w:val="2"/>
          <w:sz w:val="28"/>
          <w:szCs w:val="28"/>
          <w:u w:color="000000"/>
          <w:lang w:val="en-US" w:eastAsia="zh-CN"/>
        </w:rPr>
        <w:t>,</w:t>
      </w:r>
      <w:r>
        <w:rPr>
          <w:rFonts w:hint="default" w:ascii="Times New Roman" w:hAnsi="Times New Roman" w:cs="Times New Roman"/>
          <w:kern w:val="2"/>
          <w:sz w:val="28"/>
          <w:szCs w:val="28"/>
          <w:u w:color="000000"/>
          <w:lang w:val="ru-RU" w:eastAsia="zh-CN"/>
        </w:rPr>
        <w:t xml:space="preserve"> </w:t>
      </w:r>
      <w:r>
        <w:rPr>
          <w:rFonts w:hint="eastAsia" w:ascii="Times New Roman" w:hAnsi="Times New Roman" w:cs="Times New Roman"/>
          <w:kern w:val="2"/>
          <w:sz w:val="28"/>
          <w:szCs w:val="28"/>
          <w:u w:color="000000"/>
          <w:lang w:val="en-US" w:eastAsia="zh-CN"/>
        </w:rPr>
        <w:t>Masha</w:t>
      </w:r>
    </w:p>
    <w:p>
      <w:pPr>
        <w:pStyle w:val="4"/>
        <w:widowControl w:val="0"/>
        <w:suppressAutoHyphens/>
        <w:ind w:firstLine="560"/>
        <w:jc w:val="right"/>
        <w:rPr>
          <w:rFonts w:ascii="Times New Roman" w:hAnsi="Times New Roman"/>
          <w:kern w:val="2"/>
          <w:sz w:val="28"/>
          <w:szCs w:val="28"/>
          <w:u w:color="000000"/>
          <w:lang w:val="ru-RU"/>
        </w:rPr>
      </w:pPr>
      <w:r>
        <w:rPr>
          <w:rFonts w:hint="eastAsia" w:ascii="Times New Roman" w:hAnsi="Times New Roman"/>
          <w:kern w:val="2"/>
          <w:sz w:val="28"/>
          <w:szCs w:val="28"/>
          <w:u w:color="000000"/>
          <w:lang w:val="ru-RU"/>
        </w:rPr>
        <w:t xml:space="preserve">           </w:t>
      </w:r>
      <w:r>
        <w:rPr>
          <w:rFonts w:hint="eastAsia" w:ascii="Times New Roman" w:hAnsi="Times New Roman"/>
          <w:kern w:val="2"/>
          <w:sz w:val="28"/>
          <w:szCs w:val="28"/>
          <w:u w:color="000000"/>
        </w:rPr>
        <w:t>Email</w:t>
      </w:r>
      <w:r>
        <w:rPr>
          <w:rFonts w:hint="eastAsia" w:ascii="Times New Roman" w:hAnsi="Times New Roman"/>
          <w:kern w:val="2"/>
          <w:sz w:val="28"/>
          <w:szCs w:val="28"/>
          <w:u w:color="000000"/>
          <w:lang w:val="ru-RU"/>
        </w:rPr>
        <w:t>:2623859464@</w:t>
      </w:r>
      <w:r>
        <w:rPr>
          <w:rFonts w:hint="eastAsia" w:ascii="Times New Roman" w:hAnsi="Times New Roman"/>
          <w:kern w:val="2"/>
          <w:sz w:val="28"/>
          <w:szCs w:val="28"/>
          <w:u w:color="000000"/>
        </w:rPr>
        <w:t>qq</w:t>
      </w:r>
      <w:r>
        <w:rPr>
          <w:rFonts w:hint="eastAsia" w:ascii="Times New Roman" w:hAnsi="Times New Roman"/>
          <w:kern w:val="2"/>
          <w:sz w:val="28"/>
          <w:szCs w:val="28"/>
          <w:u w:color="000000"/>
          <w:lang w:val="ru-RU"/>
        </w:rPr>
        <w:t>.</w:t>
      </w:r>
      <w:r>
        <w:rPr>
          <w:rFonts w:hint="eastAsia" w:ascii="Times New Roman" w:hAnsi="Times New Roman"/>
          <w:kern w:val="2"/>
          <w:sz w:val="28"/>
          <w:szCs w:val="28"/>
          <w:u w:color="000000"/>
        </w:rPr>
        <w:t>com</w:t>
      </w:r>
    </w:p>
    <w:p>
      <w:pPr>
        <w:ind w:left="3401" w:right="1120" w:firstLine="280" w:firstLineChars="100"/>
        <w:jc w:val="right"/>
        <w:rPr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  Студент</w:t>
      </w:r>
      <w:r>
        <w:rPr>
          <w:sz w:val="28"/>
          <w:szCs w:val="28"/>
          <w:lang w:val="ru-RU"/>
        </w:rPr>
        <w:t>: Ван Чаочао</w:t>
      </w:r>
    </w:p>
    <w:p>
      <w:pPr>
        <w:pStyle w:val="4"/>
        <w:widowControl w:val="0"/>
        <w:suppressAutoHyphens/>
        <w:ind w:firstLine="56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группа ИУ5И-12М</w:t>
      </w:r>
    </w:p>
    <w:p>
      <w:pPr>
        <w:pStyle w:val="4"/>
        <w:widowControl w:val="0"/>
        <w:suppressAutoHyphens/>
        <w:ind w:firstLine="560"/>
        <w:jc w:val="center"/>
        <w:rPr>
          <w:sz w:val="28"/>
          <w:szCs w:val="28"/>
          <w:lang w:val="ru-RU"/>
        </w:rPr>
      </w:pPr>
    </w:p>
    <w:p>
      <w:pPr>
        <w:pStyle w:val="4"/>
        <w:widowControl w:val="0"/>
        <w:suppressAutoHyphens/>
        <w:ind w:firstLine="560"/>
        <w:jc w:val="center"/>
        <w:rPr>
          <w:sz w:val="28"/>
          <w:szCs w:val="28"/>
          <w:lang w:val="ru-RU"/>
        </w:rPr>
      </w:pPr>
    </w:p>
    <w:p>
      <w:pPr>
        <w:pStyle w:val="4"/>
        <w:widowControl w:val="0"/>
        <w:suppressAutoHyphens/>
        <w:ind w:firstLine="560"/>
        <w:jc w:val="center"/>
        <w:rPr>
          <w:sz w:val="28"/>
          <w:szCs w:val="28"/>
          <w:lang w:val="ru-RU"/>
        </w:rPr>
      </w:pPr>
    </w:p>
    <w:p>
      <w:pPr>
        <w:pStyle w:val="4"/>
        <w:widowControl w:val="0"/>
        <w:suppressAutoHyphens/>
        <w:ind w:firstLine="560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ru-RU"/>
        </w:rPr>
        <w:t>202</w:t>
      </w:r>
      <w:r>
        <w:rPr>
          <w:sz w:val="28"/>
          <w:szCs w:val="28"/>
          <w:lang w:val="ru-RU"/>
        </w:rPr>
        <w:t>1</w:t>
      </w:r>
      <w:r>
        <w:rPr>
          <w:rFonts w:hint="eastAsia"/>
          <w:sz w:val="28"/>
          <w:szCs w:val="28"/>
          <w:lang w:val="ru-RU"/>
        </w:rPr>
        <w:t>/1</w:t>
      </w:r>
      <w:r>
        <w:rPr>
          <w:rFonts w:hint="eastAsia"/>
          <w:sz w:val="28"/>
          <w:szCs w:val="28"/>
          <w:lang w:val="en-US" w:eastAsia="zh-CN"/>
        </w:rPr>
        <w:t>2/2</w:t>
      </w:r>
    </w:p>
    <w:p>
      <w:pPr>
        <w:pStyle w:val="4"/>
        <w:widowControl w:val="0"/>
        <w:suppressAutoHyphens/>
        <w:ind w:firstLine="560"/>
        <w:jc w:val="center"/>
        <w:rPr>
          <w:rFonts w:hint="default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>Шаг 1. Анализ архитектуры -определение коопераций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11245"/>
            <wp:effectExtent l="0" t="0" r="1905" b="0"/>
            <wp:docPr id="2" name="图片 2" descr="UseCase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seCaseDiagram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Рис.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 Обзорная диаграмма коопераций и прецедентов</w:t>
      </w:r>
    </w:p>
    <w:p>
      <w:pPr>
        <w:rPr>
          <w:rFonts w:hint="eastAsia" w:eastAsiaTheme="minorEastAsia"/>
          <w:lang w:eastAsia="zh-CN"/>
        </w:rPr>
      </w:pPr>
    </w:p>
    <w:p>
      <w:r>
        <w:br w:type="page"/>
      </w:r>
    </w:p>
    <w:p/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Шаг 2. Анализ архитектуры -определение классов сущностей </w:t>
      </w:r>
    </w:p>
    <w:p>
      <w:pPr>
        <w:rPr>
          <w:rFonts w:hint="default" w:ascii="Times New Roman" w:hAnsi="Times New Roman" w:cs="Times New Roman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5307330"/>
            <wp:effectExtent l="0" t="0" r="3175" b="0"/>
            <wp:docPr id="3" name="图片 3" descr="实体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实体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Рис.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. Обзорная диаграмма классов сущностей.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>Шаг 3. Анализ архитектуры -определить граничные и управляющие</w:t>
      </w:r>
      <w:r>
        <w:rPr>
          <w:rFonts w:hint="eastAsia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>классы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201670"/>
            <wp:effectExtent l="0" t="0" r="3810" b="0"/>
            <wp:docPr id="4" name="图片 4" descr="控制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控制类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Рис.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- диаграмма управляющих классов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271520"/>
            <wp:effectExtent l="0" t="0" r="3175" b="5080"/>
            <wp:docPr id="5" name="图片 5" descr="边界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边界类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Рис. 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.  диаграмма граничных классов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Шаг 4. Анализ кооперации –определить классы-участники кооперации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6878320"/>
            <wp:effectExtent l="0" t="0" r="14605" b="0"/>
            <wp:docPr id="6" name="图片 6" descr="协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协作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Рис.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. Диаграмма классов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–участников кооперации «Просмотр каталога»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Шаг5. Анализ кооперации –построить диаграмму последовательностей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618230"/>
            <wp:effectExtent l="0" t="0" r="2540" b="8890"/>
            <wp:docPr id="1" name="图片 1" descr="顾客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顾客时序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Рис.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. Диаграмма последовательностей для кооперации «Оформление заказа» 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254885"/>
            <wp:effectExtent l="0" t="0" r="8890" b="0"/>
            <wp:docPr id="9" name="图片 9" descr="销售方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销售方时序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bookmarkStart w:id="0" w:name="_GoBack"/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Рис.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. Диаграмма последовательностей для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 транспортный процесс</w:t>
      </w:r>
    </w:p>
    <w:bookmarkEnd w:id="0"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Шаг </w:t>
      </w:r>
      <w:r>
        <w:rPr>
          <w:rFonts w:hint="eastAsia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. Анализ классов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491990"/>
            <wp:effectExtent l="0" t="0" r="1905" b="0"/>
            <wp:docPr id="10" name="图片 10" descr="所有类概览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所有类概览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Рис.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 «Обзорная» диаграмма всех классов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Шаг </w:t>
      </w:r>
      <w:r>
        <w:rPr>
          <w:rFonts w:hint="eastAsia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. Анализ пакетов —построить «обзорную» диаграмму всех классов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420870"/>
            <wp:effectExtent l="0" t="0" r="635" b="0"/>
            <wp:docPr id="11" name="图片 11" descr="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包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Рис. 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9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. «Обзорная» диаграмма пакетов ( классов)</w:t>
      </w: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color w:val="000000"/>
          <w:kern w:val="0"/>
          <w:sz w:val="32"/>
          <w:szCs w:val="32"/>
          <w:lang w:val="en-US" w:eastAsia="zh-CN" w:bidi="ar"/>
        </w:rPr>
        <w:t xml:space="preserve">Литература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 xml:space="preserve">Унифицированный процесс разработки программного обеспечения: учебное пособие / Виноградова М.В., Белоусова В.И. – М.: МГТУ им.Н.Э. Баумана. – 2015 г. </w:t>
      </w:r>
      <w:r>
        <w:rPr>
          <w:rFonts w:hint="default" w:ascii="Times New Roman" w:hAnsi="Times New Roman" w:eastAsia="TimesNewRomanPSMT" w:cs="Times New Roman"/>
          <w:color w:val="000080"/>
          <w:kern w:val="0"/>
          <w:sz w:val="24"/>
          <w:szCs w:val="24"/>
          <w:lang w:val="en-US" w:eastAsia="zh-CN" w:bidi="ar"/>
        </w:rPr>
        <w:t xml:space="preserve">http://ebooks.bmstu.ru/catalog/193/book1303.html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 xml:space="preserve">Якобсон А, Дуч Г, Рамбо Дж. Унифицированный процесс разработки программного обеспечения. -Спб.: Питер. -2002г.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Материалы сайта http://www.ibm.com</w:t>
      </w:r>
    </w:p>
    <w:p>
      <w:pPr>
        <w:rPr>
          <w:rFonts w:hint="default" w:ascii="Times New Roman" w:hAnsi="Times New Roman" w:cs="Times New Roman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Arial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F386E"/>
    <w:rsid w:val="09AA0269"/>
    <w:rsid w:val="199121EF"/>
    <w:rsid w:val="2F776447"/>
    <w:rsid w:val="3FFF386E"/>
    <w:rsid w:val="67F26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По умолчанию"/>
    <w:basedOn w:val="1"/>
    <w:qFormat/>
    <w:uiPriority w:val="0"/>
    <w:pPr>
      <w:widowControl/>
      <w:jc w:val="left"/>
    </w:pPr>
    <w:rPr>
      <w:rFonts w:ascii="Helvetica Neue" w:hAnsi="Helvetica Neue" w:eastAsia="Arial Unicode MS" w:cs="Arial Unicode MS"/>
      <w:color w:val="000000"/>
      <w:kern w:val="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2021-12-01T12:05:00Z</dcterms:created>
  <dc:creator>Michael</dc:creator>
  <cp:lastModifiedBy>Michael</cp:lastModifiedBy>
  <dcterms:modified xsi:type="dcterms:W3CDTF">2021-12-05T20:22:48Z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