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5BC7" w14:textId="77777777" w:rsidR="00C46165" w:rsidRPr="001E4F95" w:rsidRDefault="00C46165">
      <w:pPr>
        <w:rPr>
          <w:color w:val="000000" w:themeColor="text1"/>
        </w:rPr>
      </w:pPr>
    </w:p>
    <w:p w14:paraId="4BBA87CE" w14:textId="77777777" w:rsidR="00C46165" w:rsidRPr="001E4F95" w:rsidRDefault="00C46165">
      <w:pPr>
        <w:rPr>
          <w:color w:val="000000" w:themeColor="text1"/>
        </w:rPr>
      </w:pPr>
    </w:p>
    <w:p w14:paraId="4DF8D19C" w14:textId="77777777" w:rsidR="00C46165" w:rsidRPr="001E4F95" w:rsidRDefault="00C46165">
      <w:pPr>
        <w:rPr>
          <w:color w:val="000000" w:themeColor="text1"/>
        </w:rPr>
      </w:pPr>
    </w:p>
    <w:p w14:paraId="5D8E3D77" w14:textId="77777777" w:rsidR="00C46165" w:rsidRPr="001E4F95" w:rsidRDefault="00000000">
      <w:pPr>
        <w:ind w:firstLine="0"/>
        <w:jc w:val="center"/>
        <w:rPr>
          <w:color w:val="000000" w:themeColor="text1"/>
          <w:lang w:eastAsia="zh-CN"/>
        </w:rPr>
      </w:pPr>
      <w:proofErr w:type="gramStart"/>
      <w:r w:rsidRPr="001E4F95">
        <w:rPr>
          <w:rFonts w:cs="Times New Roman"/>
          <w:b/>
          <w:color w:val="000000" w:themeColor="text1"/>
          <w:sz w:val="54"/>
          <w:lang w:eastAsia="zh-CN"/>
        </w:rPr>
        <w:t>体融识界</w:t>
      </w:r>
      <w:proofErr w:type="gramEnd"/>
      <w:r w:rsidRPr="001E4F95">
        <w:rPr>
          <w:rFonts w:cs="Times New Roman"/>
          <w:b/>
          <w:color w:val="000000" w:themeColor="text1"/>
          <w:sz w:val="54"/>
          <w:lang w:eastAsia="zh-CN"/>
        </w:rPr>
        <w:t>·SportFusion</w:t>
      </w:r>
    </w:p>
    <w:p w14:paraId="34D8D85F" w14:textId="77777777" w:rsidR="00C46165" w:rsidRPr="001E4F95" w:rsidRDefault="00000000">
      <w:pPr>
        <w:spacing w:before="160" w:after="1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36"/>
          <w:lang w:eastAsia="zh-CN"/>
        </w:rPr>
        <w:t>基于</w:t>
      </w:r>
      <w:r w:rsidRPr="001E4F95">
        <w:rPr>
          <w:rFonts w:cs="Times New Roman"/>
          <w:b/>
          <w:color w:val="000000" w:themeColor="text1"/>
          <w:sz w:val="36"/>
          <w:lang w:eastAsia="zh-CN"/>
        </w:rPr>
        <w:t>NLP</w:t>
      </w:r>
      <w:r w:rsidRPr="001E4F95">
        <w:rPr>
          <w:rFonts w:cs="Times New Roman"/>
          <w:b/>
          <w:color w:val="000000" w:themeColor="text1"/>
          <w:sz w:val="36"/>
          <w:lang w:eastAsia="zh-CN"/>
        </w:rPr>
        <w:t>文本识别与多维度加权的</w:t>
      </w:r>
    </w:p>
    <w:p w14:paraId="7DF17BB1" w14:textId="77777777" w:rsidR="00C46165" w:rsidRPr="001E4F95" w:rsidRDefault="00000000">
      <w:pPr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36"/>
          <w:lang w:eastAsia="zh-CN"/>
        </w:rPr>
        <w:t>多元经营企业体育业务边界识别与产业相对规模测算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C46165" w:rsidRPr="001E4F95" w14:paraId="433EC4D6" w14:textId="77777777">
        <w:trPr>
          <w:jc w:val="center"/>
        </w:trPr>
        <w:tc>
          <w:tcPr>
            <w:tcW w:w="8958" w:type="dxa"/>
            <w:shd w:val="clear" w:color="auto" w:fill="355C6B"/>
            <w:tcMar>
              <w:top w:w="110" w:type="dxa"/>
              <w:left w:w="240" w:type="dxa"/>
              <w:bottom w:w="110" w:type="dxa"/>
              <w:right w:w="240" w:type="dxa"/>
            </w:tcMar>
          </w:tcPr>
          <w:p w14:paraId="34232492" w14:textId="77777777" w:rsidR="00C46165" w:rsidRPr="001E4F95" w:rsidRDefault="00000000">
            <w:pPr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b/>
                <w:color w:val="000000" w:themeColor="text1"/>
                <w:lang w:eastAsia="zh-CN"/>
              </w:rPr>
              <w:t>项目报告｜数据复核修订版</w:t>
            </w:r>
          </w:p>
        </w:tc>
      </w:tr>
    </w:tbl>
    <w:p w14:paraId="5A1230BD" w14:textId="77777777" w:rsidR="00C46165" w:rsidRPr="001E4F95" w:rsidRDefault="00C46165">
      <w:pPr>
        <w:rPr>
          <w:color w:val="000000" w:themeColor="text1"/>
          <w:lang w:eastAsia="zh-CN"/>
        </w:rPr>
      </w:pPr>
    </w:p>
    <w:p w14:paraId="06E4AB30" w14:textId="77777777" w:rsidR="00C46165" w:rsidRPr="001E4F95" w:rsidRDefault="00C46165">
      <w:pPr>
        <w:rPr>
          <w:color w:val="000000" w:themeColor="text1"/>
          <w:lang w:eastAsia="zh-CN"/>
        </w:rPr>
      </w:pPr>
    </w:p>
    <w:p w14:paraId="0D8812D4" w14:textId="77777777" w:rsidR="00C46165" w:rsidRPr="001E4F95" w:rsidRDefault="00C46165">
      <w:pPr>
        <w:rPr>
          <w:color w:val="000000" w:themeColor="text1"/>
          <w:lang w:eastAsia="zh-CN"/>
        </w:rPr>
      </w:pPr>
    </w:p>
    <w:p w14:paraId="3846FFF2" w14:textId="77777777" w:rsidR="00C46165" w:rsidRPr="001E4F95" w:rsidRDefault="00C46165">
      <w:pPr>
        <w:rPr>
          <w:color w:val="000000" w:themeColor="text1"/>
          <w:lang w:eastAsia="zh-CN"/>
        </w:rPr>
      </w:pPr>
    </w:p>
    <w:p w14:paraId="16D5B1D8" w14:textId="77777777" w:rsidR="00C46165" w:rsidRPr="001E4F95" w:rsidRDefault="00C46165">
      <w:pPr>
        <w:rPr>
          <w:color w:val="000000" w:themeColor="text1"/>
          <w:lang w:eastAsia="zh-CN"/>
        </w:rPr>
      </w:pP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386"/>
      </w:tblGrid>
      <w:tr w:rsidR="00C46165" w:rsidRPr="001E4F95" w14:paraId="21B16F05" w14:textId="77777777">
        <w:trPr>
          <w:jc w:val="center"/>
        </w:trPr>
        <w:tc>
          <w:tcPr>
            <w:tcW w:w="2268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47786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21"/>
              </w:rPr>
              <w:t>项目</w:t>
            </w:r>
          </w:p>
        </w:tc>
        <w:tc>
          <w:tcPr>
            <w:tcW w:w="5386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3A112A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21"/>
              </w:rPr>
              <w:t>经复核信息</w:t>
            </w:r>
          </w:p>
        </w:tc>
      </w:tr>
      <w:tr w:rsidR="00C46165" w:rsidRPr="001E4F95" w14:paraId="44B9B63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CE8E9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21"/>
              </w:rPr>
              <w:t>样本记录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0012C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21"/>
              </w:rPr>
              <w:t xml:space="preserve">76,687 </w:t>
            </w:r>
            <w:r w:rsidRPr="001E4F95">
              <w:rPr>
                <w:rFonts w:cs="Times New Roman"/>
                <w:color w:val="000000" w:themeColor="text1"/>
                <w:sz w:val="21"/>
              </w:rPr>
              <w:t>家</w:t>
            </w:r>
          </w:p>
        </w:tc>
      </w:tr>
      <w:tr w:rsidR="00C46165" w:rsidRPr="001E4F95" w14:paraId="79855B36" w14:textId="77777777">
        <w:trPr>
          <w:jc w:val="center"/>
        </w:trPr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170BF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21"/>
              </w:rPr>
              <w:t>正式批次</w:t>
            </w:r>
          </w:p>
        </w:tc>
        <w:tc>
          <w:tcPr>
            <w:tcW w:w="5386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9F0B68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21"/>
              </w:rPr>
              <w:t>20260801_203307</w:t>
            </w:r>
          </w:p>
        </w:tc>
      </w:tr>
      <w:tr w:rsidR="00C46165" w:rsidRPr="001E4F95" w14:paraId="3F0F580F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091CEF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21"/>
              </w:rPr>
              <w:t>核心口径</w:t>
            </w:r>
          </w:p>
        </w:tc>
        <w:tc>
          <w:tcPr>
            <w:tcW w:w="538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7A91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21"/>
                <w:lang w:eastAsia="zh-CN"/>
              </w:rPr>
              <w:t>相对产出指数（非货币规模）</w:t>
            </w:r>
          </w:p>
        </w:tc>
      </w:tr>
      <w:tr w:rsidR="00C46165" w:rsidRPr="001E4F95" w14:paraId="20F97524" w14:textId="77777777">
        <w:trPr>
          <w:jc w:val="center"/>
        </w:trPr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B21CD4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21"/>
              </w:rPr>
              <w:t>数据原则</w:t>
            </w:r>
          </w:p>
        </w:tc>
        <w:tc>
          <w:tcPr>
            <w:tcW w:w="5386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8C1A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21"/>
                <w:lang w:eastAsia="zh-CN"/>
              </w:rPr>
              <w:t>可复算、可追溯、无证据不入结论</w:t>
            </w:r>
          </w:p>
        </w:tc>
      </w:tr>
    </w:tbl>
    <w:p w14:paraId="1D0FA146" w14:textId="77777777" w:rsidR="00C46165" w:rsidRPr="001E4F95" w:rsidRDefault="00000000">
      <w:pPr>
        <w:spacing w:before="4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2026</w:t>
      </w:r>
      <w:r w:rsidRPr="001E4F95">
        <w:rPr>
          <w:rFonts w:cs="Times New Roman"/>
          <w:color w:val="000000" w:themeColor="text1"/>
          <w:lang w:eastAsia="zh-CN"/>
        </w:rPr>
        <w:t>年</w:t>
      </w:r>
      <w:r w:rsidRPr="001E4F95">
        <w:rPr>
          <w:rFonts w:cs="Times New Roman"/>
          <w:color w:val="000000" w:themeColor="text1"/>
          <w:lang w:eastAsia="zh-CN"/>
        </w:rPr>
        <w:t>8</w:t>
      </w:r>
      <w:r w:rsidRPr="001E4F95">
        <w:rPr>
          <w:rFonts w:cs="Times New Roman"/>
          <w:color w:val="000000" w:themeColor="text1"/>
          <w:lang w:eastAsia="zh-CN"/>
        </w:rPr>
        <w:t>月</w:t>
      </w:r>
    </w:p>
    <w:p w14:paraId="7BAAC0EF" w14:textId="77777777" w:rsidR="00C46165" w:rsidRPr="001E4F95" w:rsidRDefault="00000000">
      <w:pPr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br w:type="page"/>
      </w:r>
    </w:p>
    <w:p w14:paraId="60B88E1A" w14:textId="77777777" w:rsidR="00C46165" w:rsidRPr="001E4F95" w:rsidRDefault="00000000">
      <w:pPr>
        <w:pStyle w:val="1"/>
        <w:rPr>
          <w:color w:val="000000" w:themeColor="text1"/>
          <w:lang w:eastAsia="zh-CN"/>
        </w:rPr>
      </w:pPr>
      <w:bookmarkStart w:id="0" w:name="_Toc236510138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摘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要</w:t>
      </w:r>
      <w:bookmarkEnd w:id="0"/>
    </w:p>
    <w:p w14:paraId="23307043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传统行业代码</w:t>
      </w:r>
      <w:r w:rsidRPr="001E4F95">
        <w:rPr>
          <w:rFonts w:cs="Times New Roman"/>
          <w:color w:val="000000" w:themeColor="text1"/>
          <w:lang w:eastAsia="zh-CN"/>
        </w:rPr>
        <w:t>能够稳定描述企业的登记主业，却难以反映多元经营企业已经开展的体育业务。本文以企业名称、行业代码和主要业务活动为基础，构建文本证据与行业代码协同的规则融合框架，并以业务线为分析单元识别体育业态及跨界经营。研究对象为四川省</w:t>
      </w:r>
      <w:r w:rsidRPr="001E4F95">
        <w:rPr>
          <w:rFonts w:cs="Times New Roman"/>
          <w:color w:val="000000" w:themeColor="text1"/>
          <w:lang w:eastAsia="zh-CN"/>
        </w:rPr>
        <w:t>76,687</w:t>
      </w:r>
      <w:r w:rsidRPr="001E4F95">
        <w:rPr>
          <w:rFonts w:cs="Times New Roman"/>
          <w:color w:val="000000" w:themeColor="text1"/>
          <w:lang w:eastAsia="zh-CN"/>
        </w:rPr>
        <w:t>条脱敏企业登记记录，原始数据包含统一社会信用代码、企业名称、行业代码和主要业务活动四个字段。</w:t>
      </w:r>
    </w:p>
    <w:p w14:paraId="144F74A3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SportFusion</w:t>
      </w:r>
      <w:r w:rsidRPr="001E4F95">
        <w:rPr>
          <w:rFonts w:cs="Times New Roman"/>
          <w:color w:val="000000" w:themeColor="text1"/>
          <w:lang w:eastAsia="zh-CN"/>
        </w:rPr>
        <w:t>先切分主要业务活动文本，再完成中文分词、体育词典匹配、行业代码类型判定与业态归类。项目以业务范围占比、关键词密度、行业代码权重和业态覆盖度四项特征构造</w:t>
      </w:r>
      <w:r w:rsidRPr="001E4F95">
        <w:rPr>
          <w:rFonts w:cs="Times New Roman"/>
          <w:color w:val="000000" w:themeColor="text1"/>
          <w:lang w:eastAsia="zh-CN"/>
        </w:rPr>
        <w:t>SportRatio</w:t>
      </w:r>
      <w:r w:rsidRPr="001E4F95">
        <w:rPr>
          <w:rFonts w:cs="Times New Roman"/>
          <w:color w:val="000000" w:themeColor="text1"/>
          <w:lang w:eastAsia="zh-CN"/>
        </w:rPr>
        <w:t>。该指标是</w:t>
      </w:r>
      <w:r w:rsidRPr="001E4F95">
        <w:rPr>
          <w:rFonts w:cs="Times New Roman"/>
          <w:color w:val="000000" w:themeColor="text1"/>
          <w:lang w:eastAsia="zh-CN"/>
        </w:rPr>
        <w:t>0—1</w:t>
      </w:r>
      <w:r w:rsidRPr="001E4F95">
        <w:rPr>
          <w:rFonts w:cs="Times New Roman"/>
          <w:color w:val="000000" w:themeColor="text1"/>
          <w:lang w:eastAsia="zh-CN"/>
        </w:rPr>
        <w:t>之间的相对业务比重代理值，不等同于经审计的体育营业收入占比。对企业</w:t>
      </w:r>
      <w:r w:rsidRPr="001E4F95">
        <w:rPr>
          <w:rFonts w:cs="Times New Roman"/>
          <w:color w:val="000000" w:themeColor="text1"/>
          <w:lang w:eastAsia="zh-CN"/>
        </w:rPr>
        <w:t>SportRatio</w:t>
      </w:r>
      <w:r w:rsidRPr="001E4F95">
        <w:rPr>
          <w:rFonts w:cs="Times New Roman"/>
          <w:color w:val="000000" w:themeColor="text1"/>
          <w:lang w:eastAsia="zh-CN"/>
        </w:rPr>
        <w:t>乘以</w:t>
      </w:r>
      <w:r w:rsidRPr="001E4F95">
        <w:rPr>
          <w:rFonts w:cs="Times New Roman"/>
          <w:color w:val="000000" w:themeColor="text1"/>
          <w:lang w:eastAsia="zh-CN"/>
        </w:rPr>
        <w:t>100</w:t>
      </w:r>
      <w:r w:rsidRPr="001E4F95">
        <w:rPr>
          <w:rFonts w:cs="Times New Roman"/>
          <w:color w:val="000000" w:themeColor="text1"/>
          <w:lang w:eastAsia="zh-CN"/>
        </w:rPr>
        <w:t>后汇总形成相对产出指数，指数只用于同一数据口径内的结构比较，不代表营业收入、增加值或货币产值。</w:t>
      </w:r>
    </w:p>
    <w:p w14:paraId="473A50D4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正式重跑批次</w:t>
      </w:r>
      <w:r w:rsidRPr="001E4F95">
        <w:rPr>
          <w:rFonts w:cs="Times New Roman"/>
          <w:color w:val="000000" w:themeColor="text1"/>
          <w:lang w:eastAsia="zh-CN"/>
        </w:rPr>
        <w:t>20260801_203307</w:t>
      </w:r>
      <w:r w:rsidRPr="001E4F95">
        <w:rPr>
          <w:rFonts w:cs="Times New Roman"/>
          <w:color w:val="000000" w:themeColor="text1"/>
          <w:lang w:eastAsia="zh-CN"/>
        </w:rPr>
        <w:t>识别体育相关企业</w:t>
      </w:r>
      <w:r w:rsidRPr="001E4F95">
        <w:rPr>
          <w:rFonts w:cs="Times New Roman"/>
          <w:color w:val="000000" w:themeColor="text1"/>
          <w:lang w:eastAsia="zh-CN"/>
        </w:rPr>
        <w:t>8,950</w:t>
      </w:r>
      <w:r w:rsidRPr="001E4F95">
        <w:rPr>
          <w:rFonts w:cs="Times New Roman"/>
          <w:color w:val="000000" w:themeColor="text1"/>
          <w:lang w:eastAsia="zh-CN"/>
        </w:rPr>
        <w:t>家，占全部样本的</w:t>
      </w:r>
      <w:r w:rsidRPr="001E4F95">
        <w:rPr>
          <w:rFonts w:cs="Times New Roman"/>
          <w:color w:val="000000" w:themeColor="text1"/>
          <w:lang w:eastAsia="zh-CN"/>
        </w:rPr>
        <w:t>11.67%</w:t>
      </w:r>
      <w:r w:rsidRPr="001E4F95">
        <w:rPr>
          <w:rFonts w:cs="Times New Roman"/>
          <w:color w:val="000000" w:themeColor="text1"/>
          <w:lang w:eastAsia="zh-CN"/>
        </w:rPr>
        <w:t>；传统直接行业代码法识别</w:t>
      </w:r>
      <w:r w:rsidRPr="001E4F95">
        <w:rPr>
          <w:rFonts w:cs="Times New Roman"/>
          <w:color w:val="000000" w:themeColor="text1"/>
          <w:lang w:eastAsia="zh-CN"/>
        </w:rPr>
        <w:t>8,016</w:t>
      </w:r>
      <w:r w:rsidRPr="001E4F95">
        <w:rPr>
          <w:rFonts w:cs="Times New Roman"/>
          <w:color w:val="000000" w:themeColor="text1"/>
          <w:lang w:eastAsia="zh-CN"/>
        </w:rPr>
        <w:t>家，占</w:t>
      </w:r>
      <w:r w:rsidRPr="001E4F95">
        <w:rPr>
          <w:rFonts w:cs="Times New Roman"/>
          <w:color w:val="000000" w:themeColor="text1"/>
          <w:lang w:eastAsia="zh-CN"/>
        </w:rPr>
        <w:t>10.45%</w:t>
      </w:r>
      <w:r w:rsidRPr="001E4F95">
        <w:rPr>
          <w:rFonts w:cs="Times New Roman"/>
          <w:color w:val="000000" w:themeColor="text1"/>
          <w:lang w:eastAsia="zh-CN"/>
        </w:rPr>
        <w:t>。融合法比传统法多发现</w:t>
      </w:r>
      <w:r w:rsidRPr="001E4F95">
        <w:rPr>
          <w:rFonts w:cs="Times New Roman"/>
          <w:color w:val="000000" w:themeColor="text1"/>
          <w:lang w:eastAsia="zh-CN"/>
        </w:rPr>
        <w:t>934</w:t>
      </w:r>
      <w:r w:rsidRPr="001E4F95">
        <w:rPr>
          <w:rFonts w:cs="Times New Roman"/>
          <w:color w:val="000000" w:themeColor="text1"/>
          <w:lang w:eastAsia="zh-CN"/>
        </w:rPr>
        <w:t>家，识别数量相对增加</w:t>
      </w:r>
      <w:r w:rsidRPr="001E4F95">
        <w:rPr>
          <w:rFonts w:cs="Times New Roman"/>
          <w:color w:val="000000" w:themeColor="text1"/>
          <w:lang w:eastAsia="zh-CN"/>
        </w:rPr>
        <w:t>11.65%</w:t>
      </w:r>
      <w:r w:rsidRPr="001E4F95">
        <w:rPr>
          <w:rFonts w:cs="Times New Roman"/>
          <w:color w:val="000000" w:themeColor="text1"/>
          <w:lang w:eastAsia="zh-CN"/>
        </w:rPr>
        <w:t>。体育企业中跨界经营企业</w:t>
      </w:r>
      <w:r w:rsidRPr="001E4F95">
        <w:rPr>
          <w:rFonts w:cs="Times New Roman"/>
          <w:color w:val="000000" w:themeColor="text1"/>
          <w:lang w:eastAsia="zh-CN"/>
        </w:rPr>
        <w:t>977</w:t>
      </w:r>
      <w:r w:rsidRPr="001E4F95">
        <w:rPr>
          <w:rFonts w:cs="Times New Roman"/>
          <w:color w:val="000000" w:themeColor="text1"/>
          <w:lang w:eastAsia="zh-CN"/>
        </w:rPr>
        <w:t>家，占</w:t>
      </w:r>
      <w:r w:rsidRPr="001E4F95">
        <w:rPr>
          <w:rFonts w:cs="Times New Roman"/>
          <w:color w:val="000000" w:themeColor="text1"/>
          <w:lang w:eastAsia="zh-CN"/>
        </w:rPr>
        <w:t>10.92%</w:t>
      </w:r>
      <w:r w:rsidRPr="001E4F95">
        <w:rPr>
          <w:rFonts w:cs="Times New Roman"/>
          <w:color w:val="000000" w:themeColor="text1"/>
          <w:lang w:eastAsia="zh-CN"/>
        </w:rPr>
        <w:t>。项目汇总相对产出指数为</w:t>
      </w:r>
      <w:r w:rsidRPr="001E4F95">
        <w:rPr>
          <w:rFonts w:cs="Times New Roman"/>
          <w:color w:val="000000" w:themeColor="text1"/>
          <w:lang w:eastAsia="zh-CN"/>
        </w:rPr>
        <w:t>579,124.95</w:t>
      </w:r>
      <w:r w:rsidRPr="001E4F95">
        <w:rPr>
          <w:rFonts w:cs="Times New Roman"/>
          <w:color w:val="000000" w:themeColor="text1"/>
          <w:lang w:eastAsia="zh-CN"/>
        </w:rPr>
        <w:t>，体育企业的平均</w:t>
      </w:r>
      <w:r w:rsidRPr="001E4F95">
        <w:rPr>
          <w:rFonts w:cs="Times New Roman"/>
          <w:color w:val="000000" w:themeColor="text1"/>
          <w:lang w:eastAsia="zh-CN"/>
        </w:rPr>
        <w:t>SportRatio</w:t>
      </w:r>
      <w:r w:rsidRPr="001E4F95">
        <w:rPr>
          <w:rFonts w:cs="Times New Roman"/>
          <w:color w:val="000000" w:themeColor="text1"/>
          <w:lang w:eastAsia="zh-CN"/>
        </w:rPr>
        <w:t>为</w:t>
      </w:r>
      <w:r w:rsidRPr="001E4F95">
        <w:rPr>
          <w:rFonts w:cs="Times New Roman"/>
          <w:color w:val="000000" w:themeColor="text1"/>
          <w:lang w:eastAsia="zh-CN"/>
        </w:rPr>
        <w:t>64.71%</w:t>
      </w:r>
      <w:r w:rsidRPr="001E4F95">
        <w:rPr>
          <w:rFonts w:cs="Times New Roman"/>
          <w:color w:val="000000" w:themeColor="text1"/>
          <w:lang w:eastAsia="zh-CN"/>
        </w:rPr>
        <w:t>。这些结果均由全量重跑文件直接复算。</w:t>
      </w:r>
    </w:p>
    <w:p w14:paraId="233BB706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研究没有人工金标准</w:t>
      </w:r>
      <w:r w:rsidRPr="001E4F95">
        <w:rPr>
          <w:rFonts w:cs="Times New Roman"/>
          <w:color w:val="000000" w:themeColor="text1"/>
          <w:lang w:eastAsia="zh-CN"/>
        </w:rPr>
        <w:t>、逐条预测分数和双人标注记录，因此不报告准确率、召回率、</w:t>
      </w:r>
      <w:r w:rsidRPr="001E4F95">
        <w:rPr>
          <w:rFonts w:cs="Times New Roman"/>
          <w:color w:val="000000" w:themeColor="text1"/>
          <w:lang w:eastAsia="zh-CN"/>
        </w:rPr>
        <w:t>F1</w:t>
      </w:r>
      <w:r w:rsidRPr="001E4F95">
        <w:rPr>
          <w:rFonts w:cs="Times New Roman"/>
          <w:color w:val="000000" w:themeColor="text1"/>
          <w:lang w:eastAsia="zh-CN"/>
        </w:rPr>
        <w:t>、</w:t>
      </w:r>
      <w:r w:rsidRPr="001E4F95">
        <w:rPr>
          <w:rFonts w:cs="Times New Roman"/>
          <w:color w:val="000000" w:themeColor="text1"/>
          <w:lang w:eastAsia="zh-CN"/>
        </w:rPr>
        <w:t>AUC</w:t>
      </w:r>
      <w:r w:rsidRPr="001E4F95">
        <w:rPr>
          <w:rFonts w:cs="Times New Roman"/>
          <w:color w:val="000000" w:themeColor="text1"/>
          <w:lang w:eastAsia="zh-CN"/>
        </w:rPr>
        <w:t>或</w:t>
      </w:r>
      <w:r w:rsidRPr="001E4F95">
        <w:rPr>
          <w:rFonts w:cs="Times New Roman"/>
          <w:color w:val="000000" w:themeColor="text1"/>
          <w:lang w:eastAsia="zh-CN"/>
        </w:rPr>
        <w:t>Kappa</w:t>
      </w:r>
      <w:r w:rsidRPr="001E4F95">
        <w:rPr>
          <w:rFonts w:cs="Times New Roman"/>
          <w:color w:val="000000" w:themeColor="text1"/>
          <w:lang w:eastAsia="zh-CN"/>
        </w:rPr>
        <w:t>。原稿中缺少支撑材料的监督评估指标、货币效益、趋势预测和吞吐性能数字均已删除或降为待验证事项。本文的贡献在于形成一套可解释的冷启动识别流程、可复算的数据证据链和可运行的统计辅助原型，并明确其适用边界。</w:t>
      </w:r>
    </w:p>
    <w:p w14:paraId="44E92B22" w14:textId="77777777" w:rsidR="00C46165" w:rsidRPr="001E4F95" w:rsidRDefault="00000000">
      <w:pPr>
        <w:spacing w:after="40"/>
        <w:ind w:firstLine="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关键词：体育产业统计；文本识别；多元经营；业务边界；相对产出指数；证据审计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C46165" w:rsidRPr="001E4F95" w14:paraId="70F1E3FA" w14:textId="77777777">
        <w:trPr>
          <w:jc w:val="center"/>
        </w:trPr>
        <w:tc>
          <w:tcPr>
            <w:tcW w:w="8958" w:type="dxa"/>
            <w:tcBorders>
              <w:top w:val="single" w:sz="0" w:space="0" w:color="FFFFFF"/>
              <w:left w:val="single" w:sz="6" w:space="0" w:color="B58A56"/>
              <w:bottom w:val="single" w:sz="0" w:space="0" w:color="FFFFFF"/>
              <w:right w:val="single" w:sz="0" w:space="0" w:color="FFFFFF"/>
            </w:tcBorders>
            <w:shd w:val="clear" w:color="auto" w:fill="F4EFE8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40289BE8" w14:textId="77777777" w:rsidR="00C46165" w:rsidRPr="001E4F95" w:rsidRDefault="00000000">
            <w:pPr>
              <w:spacing w:line="324" w:lineRule="auto"/>
              <w:ind w:firstLine="0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b/>
                <w:color w:val="000000" w:themeColor="text1"/>
                <w:sz w:val="22"/>
                <w:lang w:eastAsia="zh-CN"/>
              </w:rPr>
              <w:t>口径提示｜</w:t>
            </w:r>
            <w:r w:rsidRPr="001E4F95">
              <w:rPr>
                <w:rFonts w:cs="Times New Roman"/>
                <w:color w:val="000000" w:themeColor="text1"/>
                <w:sz w:val="22"/>
                <w:lang w:eastAsia="zh-CN"/>
              </w:rPr>
              <w:t>文中</w:t>
            </w:r>
            <w:r w:rsidRPr="001E4F95">
              <w:rPr>
                <w:rFonts w:cs="Times New Roman"/>
                <w:color w:val="000000" w:themeColor="text1"/>
                <w:sz w:val="22"/>
                <w:lang w:eastAsia="zh-CN"/>
              </w:rPr>
              <w:t>“</w:t>
            </w:r>
            <w:r w:rsidRPr="001E4F95">
              <w:rPr>
                <w:rFonts w:cs="Times New Roman"/>
                <w:color w:val="000000" w:themeColor="text1"/>
                <w:sz w:val="22"/>
                <w:lang w:eastAsia="zh-CN"/>
              </w:rPr>
              <w:t>产业规模</w:t>
            </w:r>
            <w:r w:rsidRPr="001E4F95">
              <w:rPr>
                <w:rFonts w:cs="Times New Roman"/>
                <w:color w:val="000000" w:themeColor="text1"/>
                <w:sz w:val="22"/>
                <w:lang w:eastAsia="zh-CN"/>
              </w:rPr>
              <w:t>”</w:t>
            </w:r>
            <w:r w:rsidRPr="001E4F95">
              <w:rPr>
                <w:rFonts w:cs="Times New Roman"/>
                <w:color w:val="000000" w:themeColor="text1"/>
                <w:sz w:val="22"/>
                <w:lang w:eastAsia="zh-CN"/>
              </w:rPr>
              <w:t>均指基于</w:t>
            </w:r>
            <w:r w:rsidRPr="001E4F95">
              <w:rPr>
                <w:rFonts w:cs="Times New Roman"/>
                <w:color w:val="000000" w:themeColor="text1"/>
                <w:sz w:val="22"/>
                <w:lang w:eastAsia="zh-CN"/>
              </w:rPr>
              <w:t>SportRatio</w:t>
            </w:r>
            <w:r w:rsidRPr="001E4F95">
              <w:rPr>
                <w:rFonts w:cs="Times New Roman"/>
                <w:color w:val="000000" w:themeColor="text1"/>
                <w:sz w:val="22"/>
                <w:lang w:eastAsia="zh-CN"/>
              </w:rPr>
              <w:t>汇总形成的相对规模指数；在未接入企业营收或增加值数据前，不作金额化解释。</w:t>
            </w:r>
          </w:p>
        </w:tc>
      </w:tr>
    </w:tbl>
    <w:p w14:paraId="0AC3DFB7" w14:textId="77777777" w:rsidR="00C46165" w:rsidRPr="001E4F95" w:rsidRDefault="00000000">
      <w:pPr>
        <w:pStyle w:val="1"/>
        <w:rPr>
          <w:color w:val="000000" w:themeColor="text1"/>
        </w:rPr>
      </w:pPr>
      <w:bookmarkStart w:id="1" w:name="_Toc236510139"/>
      <w:r w:rsidRPr="001E4F95">
        <w:rPr>
          <w:rFonts w:ascii="Times New Roman" w:eastAsia="宋体" w:hAnsi="Times New Roman" w:cs="Times New Roman"/>
          <w:color w:val="000000" w:themeColor="text1"/>
        </w:rPr>
        <w:lastRenderedPageBreak/>
        <w:t>目</w:t>
      </w:r>
      <w:r w:rsidRPr="001E4F95">
        <w:rPr>
          <w:rFonts w:ascii="Times New Roman" w:eastAsia="宋体" w:hAnsi="Times New Roman" w:cs="Times New Roman"/>
          <w:color w:val="000000" w:themeColor="text1"/>
        </w:rPr>
        <w:t xml:space="preserve">  </w:t>
      </w:r>
      <w:r w:rsidRPr="001E4F95">
        <w:rPr>
          <w:rFonts w:ascii="Times New Roman" w:eastAsia="宋体" w:hAnsi="Times New Roman" w:cs="Times New Roman"/>
          <w:color w:val="000000" w:themeColor="text1"/>
        </w:rPr>
        <w:t>录</w:t>
      </w:r>
      <w:bookmarkEnd w:id="1"/>
    </w:p>
    <w:p w14:paraId="176A268E" w14:textId="77777777" w:rsidR="001E4F95" w:rsidRPr="001E4F95" w:rsidRDefault="00000000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r w:rsidRPr="001E4F95">
        <w:rPr>
          <w:rFonts w:cs="Times New Roman"/>
          <w:color w:val="000000" w:themeColor="text1"/>
        </w:rPr>
        <w:fldChar w:fldCharType="begin"/>
      </w:r>
      <w:r w:rsidRPr="001E4F95">
        <w:rPr>
          <w:rFonts w:cs="Times New Roman"/>
          <w:color w:val="000000" w:themeColor="text1"/>
        </w:rPr>
        <w:instrText>TOC \o "1-3" \h \z \u</w:instrText>
      </w:r>
      <w:r w:rsidRPr="001E4F95">
        <w:rPr>
          <w:rFonts w:cs="Times New Roman"/>
          <w:color w:val="000000" w:themeColor="text1"/>
        </w:rPr>
        <w:fldChar w:fldCharType="separate"/>
      </w:r>
      <w:hyperlink w:anchor="_Toc236510138" w:history="1">
        <w:r w:rsidR="001E4F95" w:rsidRPr="001E4F95">
          <w:rPr>
            <w:rStyle w:val="aff9"/>
            <w:rFonts w:cs="Times New Roman"/>
            <w:noProof/>
            <w:color w:val="000000" w:themeColor="text1"/>
          </w:rPr>
          <w:t>摘</w:t>
        </w:r>
        <w:r w:rsidR="001E4F95" w:rsidRPr="001E4F95">
          <w:rPr>
            <w:rStyle w:val="aff9"/>
            <w:rFonts w:cs="Times New Roman"/>
            <w:noProof/>
            <w:color w:val="000000" w:themeColor="text1"/>
          </w:rPr>
          <w:t xml:space="preserve">  </w:t>
        </w:r>
        <w:r w:rsidR="001E4F95" w:rsidRPr="001E4F95">
          <w:rPr>
            <w:rStyle w:val="aff9"/>
            <w:rFonts w:cs="Times New Roman"/>
            <w:noProof/>
            <w:color w:val="000000" w:themeColor="text1"/>
          </w:rPr>
          <w:t>要</w:t>
        </w:r>
        <w:r w:rsidR="001E4F95" w:rsidRPr="001E4F95">
          <w:rPr>
            <w:rFonts w:hint="eastAsia"/>
            <w:noProof/>
            <w:webHidden/>
            <w:color w:val="000000" w:themeColor="text1"/>
          </w:rPr>
          <w:tab/>
        </w:r>
        <w:r w:rsidR="001E4F95"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="001E4F95"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="001E4F95" w:rsidRPr="001E4F95">
          <w:rPr>
            <w:noProof/>
            <w:webHidden/>
            <w:color w:val="000000" w:themeColor="text1"/>
          </w:rPr>
          <w:instrText>PAGEREF _Toc236510138 \h</w:instrText>
        </w:r>
        <w:r w:rsidR="001E4F95"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="001E4F95" w:rsidRPr="001E4F95">
          <w:rPr>
            <w:rFonts w:hint="eastAsia"/>
            <w:noProof/>
            <w:webHidden/>
            <w:color w:val="000000" w:themeColor="text1"/>
          </w:rPr>
        </w:r>
        <w:r w:rsidR="001E4F95"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="001E4F95" w:rsidRPr="001E4F95">
          <w:rPr>
            <w:noProof/>
            <w:webHidden/>
            <w:color w:val="000000" w:themeColor="text1"/>
          </w:rPr>
          <w:t>2</w:t>
        </w:r>
        <w:r w:rsidR="001E4F95"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5E55DC77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39" w:history="1">
        <w:r w:rsidRPr="001E4F95">
          <w:rPr>
            <w:rStyle w:val="aff9"/>
            <w:rFonts w:cs="Times New Roman"/>
            <w:noProof/>
            <w:color w:val="000000" w:themeColor="text1"/>
          </w:rPr>
          <w:t>目</w:t>
        </w:r>
        <w:r w:rsidRPr="001E4F95">
          <w:rPr>
            <w:rStyle w:val="aff9"/>
            <w:rFonts w:cs="Times New Roman"/>
            <w:noProof/>
            <w:color w:val="000000" w:themeColor="text1"/>
          </w:rPr>
          <w:t xml:space="preserve">  </w:t>
        </w:r>
        <w:r w:rsidRPr="001E4F95">
          <w:rPr>
            <w:rStyle w:val="aff9"/>
            <w:rFonts w:cs="Times New Roman"/>
            <w:noProof/>
            <w:color w:val="000000" w:themeColor="text1"/>
          </w:rPr>
          <w:t>录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_Toc236510139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3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1EF7BAFE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40" w:history="1">
        <w:r w:rsidRPr="001E4F95">
          <w:rPr>
            <w:rStyle w:val="aff9"/>
            <w:rFonts w:cs="Times New Roman"/>
            <w:noProof/>
            <w:color w:val="000000" w:themeColor="text1"/>
          </w:rPr>
          <w:t>第一章</w:t>
        </w:r>
        <w:r w:rsidRPr="001E4F95">
          <w:rPr>
            <w:rStyle w:val="aff9"/>
            <w:rFonts w:cs="Times New Roman"/>
            <w:noProof/>
            <w:color w:val="000000" w:themeColor="text1"/>
          </w:rPr>
          <w:t xml:space="preserve">  </w:t>
        </w:r>
        <w:r w:rsidRPr="001E4F95">
          <w:rPr>
            <w:rStyle w:val="aff9"/>
            <w:rFonts w:cs="Times New Roman"/>
            <w:noProof/>
            <w:color w:val="000000" w:themeColor="text1"/>
          </w:rPr>
          <w:t>研究问题与总体设计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_Toc236510140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5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20CD5C1F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41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1.1 </w:t>
        </w:r>
        <w:r w:rsidRPr="001E4F95">
          <w:rPr>
            <w:rStyle w:val="aff9"/>
            <w:rFonts w:cs="Times New Roman"/>
            <w:noProof/>
            <w:color w:val="000000" w:themeColor="text1"/>
          </w:rPr>
          <w:t>研究背景与问题提出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_Toc236510141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5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0153CD6F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42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1.2 </w:t>
        </w:r>
        <w:r w:rsidRPr="001E4F95">
          <w:rPr>
            <w:rStyle w:val="aff9"/>
            <w:rFonts w:cs="Times New Roman"/>
            <w:noProof/>
            <w:color w:val="000000" w:themeColor="text1"/>
          </w:rPr>
          <w:t>核心概念与统计边界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_Toc236510142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6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06FCC956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43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1.3 </w:t>
        </w:r>
        <w:r w:rsidRPr="001E4F95">
          <w:rPr>
            <w:rStyle w:val="aff9"/>
            <w:rFonts w:cs="Times New Roman"/>
            <w:noProof/>
            <w:color w:val="000000" w:themeColor="text1"/>
          </w:rPr>
          <w:t>研究目标与创新点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_Toc236510143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6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2AC48997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44" w:history="1">
        <w:r w:rsidRPr="001E4F95">
          <w:rPr>
            <w:rStyle w:val="aff9"/>
            <w:rFonts w:cs="Times New Roman"/>
            <w:noProof/>
            <w:color w:val="000000" w:themeColor="text1"/>
          </w:rPr>
          <w:t>第二章</w:t>
        </w:r>
        <w:r w:rsidRPr="001E4F95">
          <w:rPr>
            <w:rStyle w:val="aff9"/>
            <w:rFonts w:cs="Times New Roman"/>
            <w:noProof/>
            <w:color w:val="000000" w:themeColor="text1"/>
          </w:rPr>
          <w:t xml:space="preserve">  </w:t>
        </w:r>
        <w:r w:rsidRPr="001E4F95">
          <w:rPr>
            <w:rStyle w:val="aff9"/>
            <w:rFonts w:cs="Times New Roman"/>
            <w:noProof/>
            <w:color w:val="000000" w:themeColor="text1"/>
          </w:rPr>
          <w:t>数据基础与治理过程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_Toc236510144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7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50DF1E50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45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2.1 </w:t>
        </w:r>
        <w:r w:rsidRPr="001E4F95">
          <w:rPr>
            <w:rStyle w:val="aff9"/>
            <w:rFonts w:cs="Times New Roman"/>
            <w:noProof/>
            <w:color w:val="000000" w:themeColor="text1"/>
          </w:rPr>
          <w:t>数据来源与字段结构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_Toc236510145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7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1A9ACAF4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46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2.2 </w:t>
        </w:r>
        <w:r w:rsidRPr="001E4F95">
          <w:rPr>
            <w:rStyle w:val="aff9"/>
            <w:rFonts w:cs="Times New Roman"/>
            <w:noProof/>
            <w:color w:val="000000" w:themeColor="text1"/>
          </w:rPr>
          <w:t>数据质量审计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_Toc236510146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7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3F68B361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47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2.3 </w:t>
        </w:r>
        <w:r w:rsidRPr="001E4F95">
          <w:rPr>
            <w:rStyle w:val="aff9"/>
            <w:rFonts w:cs="Times New Roman"/>
            <w:noProof/>
            <w:color w:val="000000" w:themeColor="text1"/>
          </w:rPr>
          <w:t>文本处理与业态映射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_Toc236510147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8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2EB667AE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48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2.4 </w:t>
        </w:r>
        <w:r w:rsidRPr="001E4F95">
          <w:rPr>
            <w:rStyle w:val="aff9"/>
            <w:rFonts w:cs="Times New Roman"/>
            <w:noProof/>
            <w:color w:val="000000" w:themeColor="text1"/>
          </w:rPr>
          <w:t>数据适用边界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_Toc236510148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8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26B45714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49" w:history="1">
        <w:r w:rsidRPr="001E4F95">
          <w:rPr>
            <w:rStyle w:val="aff9"/>
            <w:rFonts w:cs="Times New Roman"/>
            <w:noProof/>
            <w:color w:val="000000" w:themeColor="text1"/>
          </w:rPr>
          <w:t>第三章</w:t>
        </w:r>
        <w:r w:rsidRPr="001E4F95">
          <w:rPr>
            <w:rStyle w:val="aff9"/>
            <w:rFonts w:cs="Times New Roman"/>
            <w:noProof/>
            <w:color w:val="000000" w:themeColor="text1"/>
          </w:rPr>
          <w:t xml:space="preserve">  </w:t>
        </w:r>
        <w:r w:rsidRPr="001E4F95">
          <w:rPr>
            <w:rStyle w:val="aff9"/>
            <w:rFonts w:cs="Times New Roman"/>
            <w:noProof/>
            <w:color w:val="000000" w:themeColor="text1"/>
          </w:rPr>
          <w:t>双通道识别与比重测算方法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_Toc236510149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9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6F7D5E13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50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3.1 </w:t>
        </w:r>
        <w:r w:rsidRPr="001E4F95">
          <w:rPr>
            <w:rStyle w:val="aff9"/>
            <w:rFonts w:cs="Times New Roman"/>
            <w:noProof/>
            <w:color w:val="000000" w:themeColor="text1"/>
          </w:rPr>
          <w:t>文本</w:t>
        </w:r>
        <w:r w:rsidRPr="001E4F95">
          <w:rPr>
            <w:rStyle w:val="aff9"/>
            <w:rFonts w:cs="Times New Roman"/>
            <w:noProof/>
            <w:color w:val="000000" w:themeColor="text1"/>
          </w:rPr>
          <w:t>—</w:t>
        </w:r>
        <w:r w:rsidRPr="001E4F95">
          <w:rPr>
            <w:rStyle w:val="aff9"/>
            <w:rFonts w:cs="Times New Roman"/>
            <w:noProof/>
            <w:color w:val="000000" w:themeColor="text1"/>
          </w:rPr>
          <w:t>代码双通道框架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_Toc236510150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9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378EE781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51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3.2 </w:t>
        </w:r>
        <w:r w:rsidRPr="001E4F95">
          <w:rPr>
            <w:rStyle w:val="aff9"/>
            <w:rFonts w:cs="Times New Roman"/>
            <w:noProof/>
            <w:color w:val="000000" w:themeColor="text1"/>
          </w:rPr>
          <w:t>业务线识别与最终判定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_Toc236510151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9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00540939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52" w:history="1">
        <w:r w:rsidRPr="001E4F95">
          <w:rPr>
            <w:rStyle w:val="aff9"/>
            <w:rFonts w:cs="Times New Roman"/>
            <w:noProof/>
            <w:color w:val="000000" w:themeColor="text1"/>
          </w:rPr>
          <w:t>3.3 SportRatio</w:t>
        </w:r>
        <w:r w:rsidRPr="001E4F95">
          <w:rPr>
            <w:rStyle w:val="aff9"/>
            <w:rFonts w:cs="Times New Roman"/>
            <w:noProof/>
            <w:color w:val="000000" w:themeColor="text1"/>
          </w:rPr>
          <w:t>四维加权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_Toc236510152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10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32F27C84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53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3.4 </w:t>
        </w:r>
        <w:r w:rsidRPr="001E4F95">
          <w:rPr>
            <w:rStyle w:val="aff9"/>
            <w:rFonts w:cs="Times New Roman"/>
            <w:noProof/>
            <w:color w:val="000000" w:themeColor="text1"/>
          </w:rPr>
          <w:t>相对产出指数与汇总指标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_Toc236510153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11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1B9F9F43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54" w:history="1">
        <w:r w:rsidRPr="001E4F95">
          <w:rPr>
            <w:rStyle w:val="aff9"/>
            <w:rFonts w:cs="Times New Roman"/>
            <w:noProof/>
            <w:color w:val="000000" w:themeColor="text1"/>
          </w:rPr>
          <w:t>第四章</w:t>
        </w:r>
        <w:r w:rsidRPr="001E4F95">
          <w:rPr>
            <w:rStyle w:val="aff9"/>
            <w:rFonts w:cs="Times New Roman"/>
            <w:noProof/>
            <w:color w:val="000000" w:themeColor="text1"/>
          </w:rPr>
          <w:t xml:space="preserve">  </w:t>
        </w:r>
        <w:r w:rsidRPr="001E4F95">
          <w:rPr>
            <w:rStyle w:val="aff9"/>
            <w:rFonts w:cs="Times New Roman"/>
            <w:noProof/>
            <w:color w:val="000000" w:themeColor="text1"/>
          </w:rPr>
          <w:t>可复现验证与证据审计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_Toc236510154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12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55AD7DE4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55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4.1 </w:t>
        </w:r>
        <w:r w:rsidRPr="001E4F95">
          <w:rPr>
            <w:rStyle w:val="aff9"/>
            <w:rFonts w:cs="Times New Roman"/>
            <w:noProof/>
            <w:color w:val="000000" w:themeColor="text1"/>
          </w:rPr>
          <w:t>验证原则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_Toc236510155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12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7BC388A3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56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4.2 </w:t>
        </w:r>
        <w:r w:rsidRPr="001E4F95">
          <w:rPr>
            <w:rStyle w:val="aff9"/>
            <w:rFonts w:cs="Times New Roman"/>
            <w:noProof/>
            <w:color w:val="000000" w:themeColor="text1"/>
          </w:rPr>
          <w:t>正式批次与口径锁定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_Toc236510156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12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175DDC3D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57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4.3 </w:t>
        </w:r>
        <w:r w:rsidRPr="001E4F95">
          <w:rPr>
            <w:rStyle w:val="aff9"/>
            <w:rFonts w:cs="Times New Roman"/>
            <w:noProof/>
            <w:color w:val="000000" w:themeColor="text1"/>
          </w:rPr>
          <w:t>基线比较的有效解释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_Toc236510157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13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06D6CFEE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58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4.4 </w:t>
        </w:r>
        <w:r w:rsidRPr="001E4F95">
          <w:rPr>
            <w:rStyle w:val="aff9"/>
            <w:rFonts w:cs="Times New Roman"/>
            <w:noProof/>
            <w:color w:val="000000" w:themeColor="text1"/>
          </w:rPr>
          <w:t>可复现文件链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_Toc236510158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13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79F380AD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59" w:history="1">
        <w:r w:rsidRPr="001E4F95">
          <w:rPr>
            <w:rStyle w:val="aff9"/>
            <w:rFonts w:cs="Times New Roman"/>
            <w:noProof/>
            <w:color w:val="000000" w:themeColor="text1"/>
          </w:rPr>
          <w:t>第五章</w:t>
        </w:r>
        <w:r w:rsidRPr="001E4F95">
          <w:rPr>
            <w:rStyle w:val="aff9"/>
            <w:rFonts w:cs="Times New Roman"/>
            <w:noProof/>
            <w:color w:val="000000" w:themeColor="text1"/>
          </w:rPr>
          <w:t xml:space="preserve">  </w:t>
        </w:r>
        <w:r w:rsidRPr="001E4F95">
          <w:rPr>
            <w:rStyle w:val="aff9"/>
            <w:rFonts w:cs="Times New Roman"/>
            <w:noProof/>
            <w:color w:val="000000" w:themeColor="text1"/>
          </w:rPr>
          <w:t>实证结果与结构分析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_Toc236510159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15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0D9C54ED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60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5.1 </w:t>
        </w:r>
        <w:r w:rsidRPr="001E4F95">
          <w:rPr>
            <w:rStyle w:val="aff9"/>
            <w:rFonts w:cs="Times New Roman"/>
            <w:noProof/>
            <w:color w:val="000000" w:themeColor="text1"/>
          </w:rPr>
          <w:t>识别范围变化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_Toc236510160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15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4172C71D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61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5.2 </w:t>
        </w:r>
        <w:r w:rsidRPr="001E4F95">
          <w:rPr>
            <w:rStyle w:val="aff9"/>
            <w:rFonts w:cs="Times New Roman"/>
            <w:noProof/>
            <w:color w:val="000000" w:themeColor="text1"/>
          </w:rPr>
          <w:t>体育业务相对比重分布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_Toc236510161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15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6B4D7428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62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5.3 </w:t>
        </w:r>
        <w:r w:rsidRPr="001E4F95">
          <w:rPr>
            <w:rStyle w:val="aff9"/>
            <w:rFonts w:cs="Times New Roman"/>
            <w:noProof/>
            <w:color w:val="000000" w:themeColor="text1"/>
          </w:rPr>
          <w:t>业态结构与跨界经营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_Toc236510162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16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156E0D75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63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5.4 </w:t>
        </w:r>
        <w:r w:rsidRPr="001E4F95">
          <w:rPr>
            <w:rStyle w:val="aff9"/>
            <w:rFonts w:cs="Times New Roman"/>
            <w:noProof/>
            <w:color w:val="000000" w:themeColor="text1"/>
          </w:rPr>
          <w:t>区域分布与集中度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_Toc236510163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18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3A06FCC6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64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5.5 </w:t>
        </w:r>
        <w:r w:rsidRPr="001E4F95">
          <w:rPr>
            <w:rStyle w:val="aff9"/>
            <w:rFonts w:cs="Times New Roman"/>
            <w:noProof/>
            <w:color w:val="000000" w:themeColor="text1"/>
          </w:rPr>
          <w:t>结果讨论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_Toc236510164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19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391C0568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65" w:history="1">
        <w:r w:rsidRPr="001E4F95">
          <w:rPr>
            <w:rStyle w:val="aff9"/>
            <w:rFonts w:cs="Times New Roman"/>
            <w:noProof/>
            <w:color w:val="000000" w:themeColor="text1"/>
          </w:rPr>
          <w:t>第六章</w:t>
        </w:r>
        <w:r w:rsidRPr="001E4F95">
          <w:rPr>
            <w:rStyle w:val="aff9"/>
            <w:rFonts w:cs="Times New Roman"/>
            <w:noProof/>
            <w:color w:val="000000" w:themeColor="text1"/>
          </w:rPr>
          <w:t xml:space="preserve">  </w:t>
        </w:r>
        <w:r w:rsidRPr="001E4F95">
          <w:rPr>
            <w:rStyle w:val="aff9"/>
            <w:rFonts w:cs="Times New Roman"/>
            <w:noProof/>
            <w:color w:val="000000" w:themeColor="text1"/>
          </w:rPr>
          <w:t>系统架构与原型实现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_Toc236510165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20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03083995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66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6.1 </w:t>
        </w:r>
        <w:r w:rsidRPr="001E4F95">
          <w:rPr>
            <w:rStyle w:val="aff9"/>
            <w:rFonts w:cs="Times New Roman"/>
            <w:noProof/>
            <w:color w:val="000000" w:themeColor="text1"/>
          </w:rPr>
          <w:t>技术架构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_Toc236510166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20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6D95B196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67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6.2 </w:t>
        </w:r>
        <w:r w:rsidRPr="001E4F95">
          <w:rPr>
            <w:rStyle w:val="aff9"/>
            <w:rFonts w:cs="Times New Roman"/>
            <w:noProof/>
            <w:color w:val="000000" w:themeColor="text1"/>
          </w:rPr>
          <w:t>真实运行界面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_Toc236510167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21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22CACAFF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68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6.3 </w:t>
        </w:r>
        <w:r w:rsidRPr="001E4F95">
          <w:rPr>
            <w:rStyle w:val="aff9"/>
            <w:rFonts w:cs="Times New Roman"/>
            <w:noProof/>
            <w:color w:val="000000" w:themeColor="text1"/>
          </w:rPr>
          <w:t>统计业务落地流程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_Toc236510168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23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58DA5AA6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69" w:history="1">
        <w:r w:rsidRPr="001E4F95">
          <w:rPr>
            <w:rStyle w:val="aff9"/>
            <w:rFonts w:cs="Times New Roman"/>
            <w:noProof/>
            <w:color w:val="000000" w:themeColor="text1"/>
          </w:rPr>
          <w:t>第七章</w:t>
        </w:r>
        <w:r w:rsidRPr="001E4F95">
          <w:rPr>
            <w:rStyle w:val="aff9"/>
            <w:rFonts w:cs="Times New Roman"/>
            <w:noProof/>
            <w:color w:val="000000" w:themeColor="text1"/>
          </w:rPr>
          <w:t xml:space="preserve">  </w:t>
        </w:r>
        <w:r w:rsidRPr="001E4F95">
          <w:rPr>
            <w:rStyle w:val="aff9"/>
            <w:rFonts w:cs="Times New Roman"/>
            <w:noProof/>
            <w:color w:val="000000" w:themeColor="text1"/>
          </w:rPr>
          <w:t>应用价值、政策建议与局限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_Toc236510169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24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4BD46D1E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70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7.1 </w:t>
        </w:r>
        <w:r w:rsidRPr="001E4F95">
          <w:rPr>
            <w:rStyle w:val="aff9"/>
            <w:rFonts w:cs="Times New Roman"/>
            <w:noProof/>
            <w:color w:val="000000" w:themeColor="text1"/>
          </w:rPr>
          <w:t>可确认的应用价值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_Toc236510170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24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2F6AF76F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71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7.2 </w:t>
        </w:r>
        <w:r w:rsidRPr="001E4F95">
          <w:rPr>
            <w:rStyle w:val="aff9"/>
            <w:rFonts w:cs="Times New Roman"/>
            <w:noProof/>
            <w:color w:val="000000" w:themeColor="text1"/>
          </w:rPr>
          <w:t>面向不同主体的使用方式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_Toc236510171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24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35A32781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72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7.3 </w:t>
        </w:r>
        <w:r w:rsidRPr="001E4F95">
          <w:rPr>
            <w:rStyle w:val="aff9"/>
            <w:rFonts w:cs="Times New Roman"/>
            <w:noProof/>
            <w:color w:val="000000" w:themeColor="text1"/>
          </w:rPr>
          <w:t>政策与实施建议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_Toc236510172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24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4F2F52F5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73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7.4 </w:t>
        </w:r>
        <w:r w:rsidRPr="001E4F95">
          <w:rPr>
            <w:rStyle w:val="aff9"/>
            <w:rFonts w:cs="Times New Roman"/>
            <w:noProof/>
            <w:color w:val="000000" w:themeColor="text1"/>
          </w:rPr>
          <w:t>局限性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_Toc236510173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25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658E6BB3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74" w:history="1">
        <w:r w:rsidRPr="001E4F95">
          <w:rPr>
            <w:rStyle w:val="aff9"/>
            <w:rFonts w:cs="Times New Roman"/>
            <w:noProof/>
            <w:color w:val="000000" w:themeColor="text1"/>
          </w:rPr>
          <w:t>第八章</w:t>
        </w:r>
        <w:r w:rsidRPr="001E4F95">
          <w:rPr>
            <w:rStyle w:val="aff9"/>
            <w:rFonts w:cs="Times New Roman"/>
            <w:noProof/>
            <w:color w:val="000000" w:themeColor="text1"/>
          </w:rPr>
          <w:t xml:space="preserve">  </w:t>
        </w:r>
        <w:r w:rsidRPr="001E4F95">
          <w:rPr>
            <w:rStyle w:val="aff9"/>
            <w:rFonts w:cs="Times New Roman"/>
            <w:noProof/>
            <w:color w:val="000000" w:themeColor="text1"/>
          </w:rPr>
          <w:t>结论与展望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_Toc236510174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26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23C6A50B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75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8.1 </w:t>
        </w:r>
        <w:r w:rsidRPr="001E4F95">
          <w:rPr>
            <w:rStyle w:val="aff9"/>
            <w:rFonts w:cs="Times New Roman"/>
            <w:noProof/>
            <w:color w:val="000000" w:themeColor="text1"/>
          </w:rPr>
          <w:t>主要结论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_Toc236510175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26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16B669DF" w14:textId="77777777" w:rsidR="001E4F95" w:rsidRPr="001E4F95" w:rsidRDefault="001E4F95">
      <w:pPr>
        <w:pStyle w:val="TOC2"/>
        <w:tabs>
          <w:tab w:val="right" w:leader="dot" w:pos="8948"/>
        </w:tabs>
        <w:ind w:left="480"/>
        <w:rPr>
          <w:rFonts w:hint="eastAsia"/>
          <w:noProof/>
          <w:color w:val="000000" w:themeColor="text1"/>
        </w:rPr>
      </w:pPr>
      <w:hyperlink w:anchor="_Toc236510176" w:history="1">
        <w:r w:rsidRPr="001E4F95">
          <w:rPr>
            <w:rStyle w:val="aff9"/>
            <w:rFonts w:cs="Times New Roman"/>
            <w:noProof/>
            <w:color w:val="000000" w:themeColor="text1"/>
          </w:rPr>
          <w:t xml:space="preserve">8.2 </w:t>
        </w:r>
        <w:r w:rsidRPr="001E4F95">
          <w:rPr>
            <w:rStyle w:val="aff9"/>
            <w:rFonts w:cs="Times New Roman"/>
            <w:noProof/>
            <w:color w:val="000000" w:themeColor="text1"/>
          </w:rPr>
          <w:t>后续工作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_Toc236510176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26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6F083F70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77" w:history="1">
        <w:r w:rsidRPr="001E4F95">
          <w:rPr>
            <w:rStyle w:val="aff9"/>
            <w:rFonts w:cs="Times New Roman"/>
            <w:noProof/>
            <w:color w:val="000000" w:themeColor="text1"/>
          </w:rPr>
          <w:t>参考文献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_Toc236510177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27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2A76AB11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78" w:history="1">
        <w:r w:rsidRPr="001E4F95">
          <w:rPr>
            <w:rStyle w:val="aff9"/>
            <w:rFonts w:cs="Times New Roman"/>
            <w:noProof/>
            <w:color w:val="000000" w:themeColor="text1"/>
          </w:rPr>
          <w:t>附录</w:t>
        </w:r>
        <w:r w:rsidRPr="001E4F95">
          <w:rPr>
            <w:rStyle w:val="aff9"/>
            <w:rFonts w:cs="Times New Roman"/>
            <w:noProof/>
            <w:color w:val="000000" w:themeColor="text1"/>
          </w:rPr>
          <w:t xml:space="preserve">A  </w:t>
        </w:r>
        <w:r w:rsidRPr="001E4F95">
          <w:rPr>
            <w:rStyle w:val="aff9"/>
            <w:rFonts w:cs="Times New Roman"/>
            <w:noProof/>
            <w:color w:val="000000" w:themeColor="text1"/>
          </w:rPr>
          <w:t>指标定义与计算口径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_Toc236510178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28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258D7CED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79" w:history="1">
        <w:r w:rsidRPr="001E4F95">
          <w:rPr>
            <w:rStyle w:val="aff9"/>
            <w:rFonts w:cs="Times New Roman"/>
            <w:noProof/>
            <w:color w:val="000000" w:themeColor="text1"/>
          </w:rPr>
          <w:t>附录</w:t>
        </w:r>
        <w:r w:rsidRPr="001E4F95">
          <w:rPr>
            <w:rStyle w:val="aff9"/>
            <w:rFonts w:cs="Times New Roman"/>
            <w:noProof/>
            <w:color w:val="000000" w:themeColor="text1"/>
          </w:rPr>
          <w:t xml:space="preserve">B  </w:t>
        </w:r>
        <w:r w:rsidRPr="001E4F95">
          <w:rPr>
            <w:rStyle w:val="aff9"/>
            <w:rFonts w:cs="Times New Roman"/>
            <w:noProof/>
            <w:color w:val="000000" w:themeColor="text1"/>
          </w:rPr>
          <w:t>复现步骤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_Toc236510179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29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3FFE4A18" w14:textId="77777777" w:rsidR="001E4F95" w:rsidRPr="001E4F95" w:rsidRDefault="001E4F95">
      <w:pPr>
        <w:pStyle w:val="TOC1"/>
        <w:tabs>
          <w:tab w:val="right" w:leader="dot" w:pos="8948"/>
        </w:tabs>
        <w:rPr>
          <w:rFonts w:hint="eastAsia"/>
          <w:noProof/>
          <w:color w:val="000000" w:themeColor="text1"/>
        </w:rPr>
      </w:pPr>
      <w:hyperlink w:anchor="_Toc236510180" w:history="1">
        <w:r w:rsidRPr="001E4F95">
          <w:rPr>
            <w:rStyle w:val="aff9"/>
            <w:rFonts w:cs="Times New Roman"/>
            <w:noProof/>
            <w:color w:val="000000" w:themeColor="text1"/>
          </w:rPr>
          <w:t>附录</w:t>
        </w:r>
        <w:r w:rsidRPr="001E4F95">
          <w:rPr>
            <w:rStyle w:val="aff9"/>
            <w:rFonts w:cs="Times New Roman"/>
            <w:noProof/>
            <w:color w:val="000000" w:themeColor="text1"/>
          </w:rPr>
          <w:t xml:space="preserve">C  </w:t>
        </w:r>
        <w:r w:rsidRPr="001E4F95">
          <w:rPr>
            <w:rStyle w:val="aff9"/>
            <w:rFonts w:cs="Times New Roman"/>
            <w:noProof/>
            <w:color w:val="000000" w:themeColor="text1"/>
          </w:rPr>
          <w:t>数据真实性与修订声明</w:t>
        </w:r>
        <w:r w:rsidRPr="001E4F95">
          <w:rPr>
            <w:rFonts w:hint="eastAsia"/>
            <w:noProof/>
            <w:webHidden/>
            <w:color w:val="000000" w:themeColor="text1"/>
          </w:rPr>
          <w:tab/>
        </w:r>
        <w:r w:rsidRPr="001E4F95">
          <w:rPr>
            <w:rFonts w:hint="eastAsia"/>
            <w:noProof/>
            <w:webHidden/>
            <w:color w:val="000000" w:themeColor="text1"/>
          </w:rPr>
          <w:fldChar w:fldCharType="begin"/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noProof/>
            <w:webHidden/>
            <w:color w:val="000000" w:themeColor="text1"/>
          </w:rPr>
          <w:instrText>PAGEREF _Toc236510180 \h</w:instrText>
        </w:r>
        <w:r w:rsidRPr="001E4F95">
          <w:rPr>
            <w:rFonts w:hint="eastAsia"/>
            <w:noProof/>
            <w:webHidden/>
            <w:color w:val="000000" w:themeColor="text1"/>
          </w:rPr>
          <w:instrText xml:space="preserve"> </w:instrText>
        </w:r>
        <w:r w:rsidRPr="001E4F95">
          <w:rPr>
            <w:rFonts w:hint="eastAsia"/>
            <w:noProof/>
            <w:webHidden/>
            <w:color w:val="000000" w:themeColor="text1"/>
          </w:rPr>
        </w:r>
        <w:r w:rsidRPr="001E4F95">
          <w:rPr>
            <w:rFonts w:hint="eastAsia"/>
            <w:noProof/>
            <w:webHidden/>
            <w:color w:val="000000" w:themeColor="text1"/>
          </w:rPr>
          <w:fldChar w:fldCharType="separate"/>
        </w:r>
        <w:r w:rsidRPr="001E4F95">
          <w:rPr>
            <w:noProof/>
            <w:webHidden/>
            <w:color w:val="000000" w:themeColor="text1"/>
          </w:rPr>
          <w:t>30</w:t>
        </w:r>
        <w:r w:rsidRPr="001E4F95">
          <w:rPr>
            <w:rFonts w:hint="eastAsia"/>
            <w:noProof/>
            <w:webHidden/>
            <w:color w:val="000000" w:themeColor="text1"/>
          </w:rPr>
          <w:fldChar w:fldCharType="end"/>
        </w:r>
      </w:hyperlink>
    </w:p>
    <w:p w14:paraId="196D44D3" w14:textId="77777777" w:rsidR="00C46165" w:rsidRPr="001E4F95" w:rsidRDefault="00000000">
      <w:pPr>
        <w:jc w:val="left"/>
        <w:rPr>
          <w:color w:val="000000" w:themeColor="text1"/>
        </w:rPr>
      </w:pPr>
      <w:r w:rsidRPr="001E4F95">
        <w:rPr>
          <w:rFonts w:cs="Times New Roman"/>
          <w:color w:val="000000" w:themeColor="text1"/>
        </w:rPr>
        <w:fldChar w:fldCharType="end"/>
      </w:r>
    </w:p>
    <w:p w14:paraId="0FF61EC8" w14:textId="77777777" w:rsidR="00C46165" w:rsidRPr="001E4F95" w:rsidRDefault="00000000">
      <w:pPr>
        <w:rPr>
          <w:color w:val="000000" w:themeColor="text1"/>
        </w:rPr>
      </w:pPr>
      <w:r w:rsidRPr="001E4F95">
        <w:rPr>
          <w:rFonts w:cs="Times New Roman"/>
          <w:color w:val="000000" w:themeColor="text1"/>
        </w:rPr>
        <w:br w:type="page"/>
      </w:r>
    </w:p>
    <w:p w14:paraId="7007A71C" w14:textId="77777777" w:rsidR="00C46165" w:rsidRPr="001E4F95" w:rsidRDefault="00000000">
      <w:pPr>
        <w:pStyle w:val="1"/>
        <w:rPr>
          <w:color w:val="000000" w:themeColor="text1"/>
          <w:lang w:eastAsia="zh-CN"/>
        </w:rPr>
      </w:pPr>
      <w:bookmarkStart w:id="2" w:name="_Toc236510140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第一章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研究问题与总体设计</w:t>
      </w:r>
      <w:bookmarkEnd w:id="2"/>
    </w:p>
    <w:p w14:paraId="70A2CFCF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3" w:name="_Toc236510141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1.1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研究背景与问题提出</w:t>
      </w:r>
      <w:bookmarkEnd w:id="3"/>
    </w:p>
    <w:p w14:paraId="310B351B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GB/T 4754—2017</w:t>
      </w:r>
      <w:r w:rsidRPr="001E4F95">
        <w:rPr>
          <w:rFonts w:cs="Times New Roman"/>
          <w:color w:val="000000" w:themeColor="text1"/>
          <w:lang w:eastAsia="zh-CN"/>
        </w:rPr>
        <w:t>为国民经济活动提供统一分类基础，体育产业统计分类（</w:t>
      </w:r>
      <w:r w:rsidRPr="001E4F95">
        <w:rPr>
          <w:rFonts w:cs="Times New Roman"/>
          <w:color w:val="000000" w:themeColor="text1"/>
          <w:lang w:eastAsia="zh-CN"/>
        </w:rPr>
        <w:t>2019</w:t>
      </w:r>
      <w:r w:rsidRPr="001E4F95">
        <w:rPr>
          <w:rFonts w:cs="Times New Roman"/>
          <w:color w:val="000000" w:themeColor="text1"/>
          <w:lang w:eastAsia="zh-CN"/>
        </w:rPr>
        <w:t>）进一步界定体育产业统计范围。两类标准解决的是统一归类问题，但企业登记的行业代码通常对应主业。当企业同时经营赛事、培训、用品销售或健身服务时，单一代码无法完整呈现业务组合，统计边界由此出现遗漏。相关标准及政策依据均采用官方公开页面核验</w:t>
      </w:r>
      <w:r w:rsidRPr="001E4F95">
        <w:rPr>
          <w:rFonts w:cs="Times New Roman"/>
          <w:color w:val="000000" w:themeColor="text1"/>
          <w:lang w:eastAsia="zh-CN"/>
        </w:rPr>
        <w:t>[1-4]</w:t>
      </w:r>
      <w:r w:rsidRPr="001E4F95">
        <w:rPr>
          <w:rFonts w:cs="Times New Roman"/>
          <w:color w:val="000000" w:themeColor="text1"/>
          <w:lang w:eastAsia="zh-CN"/>
        </w:rPr>
        <w:t>。</w:t>
      </w:r>
    </w:p>
    <w:p w14:paraId="16011EDC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文本字段</w:t>
      </w:r>
      <w:r w:rsidRPr="001E4F95">
        <w:rPr>
          <w:rFonts w:cs="Times New Roman"/>
          <w:color w:val="000000" w:themeColor="text1"/>
          <w:lang w:eastAsia="zh-CN"/>
        </w:rPr>
        <w:t>为识别遗漏提供了补充证据。</w:t>
      </w:r>
      <w:r w:rsidRPr="001E4F95">
        <w:rPr>
          <w:rFonts w:cs="Times New Roman"/>
          <w:color w:val="000000" w:themeColor="text1"/>
          <w:lang w:eastAsia="zh-CN"/>
        </w:rPr>
        <w:t>“</w:t>
      </w:r>
      <w:r w:rsidRPr="001E4F95">
        <w:rPr>
          <w:rFonts w:cs="Times New Roman"/>
          <w:color w:val="000000" w:themeColor="text1"/>
          <w:lang w:eastAsia="zh-CN"/>
        </w:rPr>
        <w:t>主要业务活动</w:t>
      </w:r>
      <w:r w:rsidRPr="001E4F95">
        <w:rPr>
          <w:rFonts w:cs="Times New Roman"/>
          <w:color w:val="000000" w:themeColor="text1"/>
          <w:lang w:eastAsia="zh-CN"/>
        </w:rPr>
        <w:t>”</w:t>
      </w:r>
      <w:r w:rsidRPr="001E4F95">
        <w:rPr>
          <w:rFonts w:cs="Times New Roman"/>
          <w:color w:val="000000" w:themeColor="text1"/>
          <w:lang w:eastAsia="zh-CN"/>
        </w:rPr>
        <w:t>直接记录企业申报的经营内容，可拆分为若干业务线，再与体育业态词典和行业代码交叉判断。文本作为经济研究数据的处理原则强调测量过程、可重复性和外部有效性</w:t>
      </w:r>
      <w:r w:rsidRPr="001E4F95">
        <w:rPr>
          <w:rFonts w:cs="Times New Roman"/>
          <w:color w:val="000000" w:themeColor="text1"/>
          <w:lang w:eastAsia="zh-CN"/>
        </w:rPr>
        <w:t>[5]</w:t>
      </w:r>
      <w:r w:rsidRPr="001E4F95">
        <w:rPr>
          <w:rFonts w:cs="Times New Roman"/>
          <w:color w:val="000000" w:themeColor="text1"/>
          <w:lang w:eastAsia="zh-CN"/>
        </w:rPr>
        <w:t>；因此，本项目把可解释规则和证据留痕置于模型复杂度之前。</w:t>
      </w:r>
    </w:p>
    <w:p w14:paraId="44098D6D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本研究关注三个可检验问题：其一，融合文本证据后，体育相关企业的识别范围改变多少；其二，在缺少分业务营收时，能否给出透明且可复算的相对业务权重；其三，如何将识别、汇总、风险提示和报告输出整合为可交付的统计辅助工具。</w:t>
      </w:r>
    </w:p>
    <w:p w14:paraId="3D836E95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drawing>
          <wp:inline distT="0" distB="0" distL="0" distR="0" wp14:anchorId="3B9ED5E1" wp14:editId="577FF9C5">
            <wp:extent cx="5472000" cy="31196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研究论证闭环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17C0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1-1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研究问题、方法与验证闭环</w:t>
      </w:r>
    </w:p>
    <w:p w14:paraId="143A27D9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sz w:val="18"/>
          <w:lang w:eastAsia="zh-CN"/>
        </w:rPr>
        <w:t>资料来源：本研究根据正式批次和证据审计流程绘制。</w:t>
      </w:r>
    </w:p>
    <w:p w14:paraId="1617767E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4" w:name="_Toc236510142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 xml:space="preserve">1.2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核心概念与统计边界</w:t>
      </w:r>
      <w:bookmarkEnd w:id="4"/>
    </w:p>
    <w:p w14:paraId="1D297E44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表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1-1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核心概念与本文口径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69"/>
        <w:gridCol w:w="2268"/>
      </w:tblGrid>
      <w:tr w:rsidR="00C46165" w:rsidRPr="001E4F95" w14:paraId="72E5D130" w14:textId="77777777">
        <w:trPr>
          <w:jc w:val="center"/>
        </w:trPr>
        <w:tc>
          <w:tcPr>
            <w:tcW w:w="170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DDBCE9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概念</w:t>
            </w:r>
          </w:p>
        </w:tc>
        <w:tc>
          <w:tcPr>
            <w:tcW w:w="3969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5180D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本文定义</w:t>
            </w:r>
          </w:p>
        </w:tc>
        <w:tc>
          <w:tcPr>
            <w:tcW w:w="2268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889A9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不作何种解释</w:t>
            </w:r>
          </w:p>
        </w:tc>
      </w:tr>
      <w:tr w:rsidR="00C46165" w:rsidRPr="001E4F95" w14:paraId="7B3B7DB7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71280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体育相关企业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DA047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达到融合规则阈值且具有可追溯体育文本或代码证据的企业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EA8D4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不等同于法定统计名录认定</w:t>
            </w:r>
          </w:p>
        </w:tc>
      </w:tr>
      <w:tr w:rsidR="00C46165" w:rsidRPr="001E4F95" w14:paraId="39CADED0" w14:textId="77777777">
        <w:trPr>
          <w:jc w:val="center"/>
        </w:trPr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2BEE8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SportRatio</w:t>
            </w:r>
          </w:p>
        </w:tc>
        <w:tc>
          <w:tcPr>
            <w:tcW w:w="3969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2AA9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由四维特征加权形成的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0—1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相对代理值</w:t>
            </w:r>
          </w:p>
        </w:tc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63FC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不等同于财务报表中的收入占比</w:t>
            </w:r>
          </w:p>
        </w:tc>
      </w:tr>
      <w:tr w:rsidR="00C46165" w:rsidRPr="001E4F95" w14:paraId="0DBE1CC3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299B8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相对产出指数</w:t>
            </w:r>
          </w:p>
        </w:tc>
        <w:tc>
          <w:tcPr>
            <w:tcW w:w="39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FFE9C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体育企业</w:t>
            </w:r>
            <w:r w:rsidRPr="001E4F95">
              <w:rPr>
                <w:rFonts w:cs="Times New Roman"/>
                <w:color w:val="000000" w:themeColor="text1"/>
                <w:sz w:val="19"/>
              </w:rPr>
              <w:t>SportRatio×100</w:t>
            </w:r>
            <w:r w:rsidRPr="001E4F95">
              <w:rPr>
                <w:rFonts w:cs="Times New Roman"/>
                <w:color w:val="000000" w:themeColor="text1"/>
                <w:sz w:val="19"/>
              </w:rPr>
              <w:t>后的汇总值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B78D8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不等同于营业收入、增加值或货币产值</w:t>
            </w:r>
          </w:p>
        </w:tc>
      </w:tr>
      <w:tr w:rsidR="00C46165" w:rsidRPr="001E4F95" w14:paraId="5C299C00" w14:textId="77777777">
        <w:trPr>
          <w:jc w:val="center"/>
        </w:trPr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223B4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跨界经营</w:t>
            </w:r>
          </w:p>
        </w:tc>
        <w:tc>
          <w:tcPr>
            <w:tcW w:w="3969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0997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行业代码并非直接体育代码，但文本证据显示存在体育业务</w:t>
            </w:r>
          </w:p>
        </w:tc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B50D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不代表企业经营许可或合规结论</w:t>
            </w:r>
          </w:p>
        </w:tc>
      </w:tr>
    </w:tbl>
    <w:p w14:paraId="43529FEA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国家统计局</w:t>
      </w:r>
      <w:r w:rsidRPr="001E4F95">
        <w:rPr>
          <w:rFonts w:cs="Times New Roman"/>
          <w:color w:val="000000" w:themeColor="text1"/>
          <w:lang w:eastAsia="zh-CN"/>
        </w:rPr>
        <w:t>发布的体育产业统计分类（</w:t>
      </w:r>
      <w:r w:rsidRPr="001E4F95">
        <w:rPr>
          <w:rFonts w:cs="Times New Roman"/>
          <w:color w:val="000000" w:themeColor="text1"/>
          <w:lang w:eastAsia="zh-CN"/>
        </w:rPr>
        <w:t>2019</w:t>
      </w:r>
      <w:r w:rsidRPr="001E4F95">
        <w:rPr>
          <w:rFonts w:cs="Times New Roman"/>
          <w:color w:val="000000" w:themeColor="text1"/>
          <w:lang w:eastAsia="zh-CN"/>
        </w:rPr>
        <w:t>）设置</w:t>
      </w:r>
      <w:r w:rsidRPr="001E4F95">
        <w:rPr>
          <w:rFonts w:cs="Times New Roman"/>
          <w:color w:val="000000" w:themeColor="text1"/>
          <w:lang w:eastAsia="zh-CN"/>
        </w:rPr>
        <w:t>11</w:t>
      </w:r>
      <w:r w:rsidRPr="001E4F95">
        <w:rPr>
          <w:rFonts w:cs="Times New Roman"/>
          <w:color w:val="000000" w:themeColor="text1"/>
          <w:lang w:eastAsia="zh-CN"/>
        </w:rPr>
        <w:t>个大类</w:t>
      </w:r>
      <w:r w:rsidRPr="001E4F95">
        <w:rPr>
          <w:rFonts w:cs="Times New Roman"/>
          <w:color w:val="000000" w:themeColor="text1"/>
          <w:lang w:eastAsia="zh-CN"/>
        </w:rPr>
        <w:t>[2]</w:t>
      </w:r>
      <w:r w:rsidRPr="001E4F95">
        <w:rPr>
          <w:rFonts w:cs="Times New Roman"/>
          <w:color w:val="000000" w:themeColor="text1"/>
          <w:lang w:eastAsia="zh-CN"/>
        </w:rPr>
        <w:t>。本项目没有改写官方分类，而是为规则识别和可视化汇总建立</w:t>
      </w:r>
      <w:r w:rsidRPr="001E4F95">
        <w:rPr>
          <w:rFonts w:cs="Times New Roman"/>
          <w:color w:val="000000" w:themeColor="text1"/>
          <w:lang w:eastAsia="zh-CN"/>
        </w:rPr>
        <w:t>9</w:t>
      </w:r>
      <w:r w:rsidRPr="001E4F95">
        <w:rPr>
          <w:rFonts w:cs="Times New Roman"/>
          <w:color w:val="000000" w:themeColor="text1"/>
          <w:lang w:eastAsia="zh-CN"/>
        </w:rPr>
        <w:t>个操作性业态标签。两者用途不同：官方分类服务统计制度，项目标签服务文本证据整理，成果应用时应通过映射表回接正式分类。</w:t>
      </w:r>
    </w:p>
    <w:p w14:paraId="53CDADC5" w14:textId="77777777" w:rsidR="00C46165" w:rsidRPr="001E4F95" w:rsidRDefault="00000000">
      <w:pPr>
        <w:pStyle w:val="21"/>
        <w:rPr>
          <w:color w:val="000000" w:themeColor="text1"/>
        </w:rPr>
      </w:pPr>
      <w:bookmarkStart w:id="5" w:name="_Toc236510143"/>
      <w:r w:rsidRPr="001E4F95">
        <w:rPr>
          <w:rFonts w:ascii="Times New Roman" w:eastAsia="宋体" w:hAnsi="Times New Roman" w:cs="Times New Roman"/>
          <w:color w:val="000000" w:themeColor="text1"/>
        </w:rPr>
        <w:t xml:space="preserve">1.3 </w:t>
      </w:r>
      <w:r w:rsidRPr="001E4F95">
        <w:rPr>
          <w:rFonts w:ascii="Times New Roman" w:eastAsia="宋体" w:hAnsi="Times New Roman" w:cs="Times New Roman"/>
          <w:color w:val="000000" w:themeColor="text1"/>
        </w:rPr>
        <w:t>研究目标与创新点</w:t>
      </w:r>
      <w:bookmarkEnd w:id="5"/>
    </w:p>
    <w:p w14:paraId="14904FA3" w14:textId="77777777" w:rsidR="00C46165" w:rsidRPr="001E4F95" w:rsidRDefault="00000000">
      <w:pPr>
        <w:pStyle w:val="a0"/>
        <w:spacing w:after="40"/>
        <w:ind w:left="40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创新点一：</w:t>
      </w:r>
      <w:r w:rsidRPr="001E4F95">
        <w:rPr>
          <w:rFonts w:cs="Times New Roman"/>
          <w:color w:val="000000" w:themeColor="text1"/>
          <w:lang w:eastAsia="zh-CN"/>
        </w:rPr>
        <w:t>形成零人工标签条件下可运行的双通道规则框架。行业代码提供结构先验，主要业务活动文本提供实际经营证据，输出同时保留命中词、业务线和判定依据。</w:t>
      </w:r>
    </w:p>
    <w:p w14:paraId="7F4BD75C" w14:textId="77777777" w:rsidR="00C46165" w:rsidRPr="001E4F95" w:rsidRDefault="00000000">
      <w:pPr>
        <w:pStyle w:val="a0"/>
        <w:spacing w:after="40"/>
        <w:ind w:left="400"/>
        <w:rPr>
          <w:color w:val="000000" w:themeColor="text1"/>
        </w:rPr>
      </w:pPr>
      <w:r w:rsidRPr="001E4F95">
        <w:rPr>
          <w:rFonts w:cs="Times New Roman"/>
          <w:b/>
          <w:color w:val="000000" w:themeColor="text1"/>
          <w:lang w:eastAsia="zh-CN"/>
        </w:rPr>
        <w:t>创新点二：</w:t>
      </w:r>
      <w:r w:rsidRPr="001E4F95">
        <w:rPr>
          <w:rFonts w:cs="Times New Roman"/>
          <w:color w:val="000000" w:themeColor="text1"/>
          <w:lang w:eastAsia="zh-CN"/>
        </w:rPr>
        <w:t>把企业级二值归类细化为业务线级特征测算。</w:t>
      </w:r>
      <w:r w:rsidRPr="001E4F95">
        <w:rPr>
          <w:rFonts w:cs="Times New Roman"/>
          <w:color w:val="000000" w:themeColor="text1"/>
        </w:rPr>
        <w:t>SportRatio</w:t>
      </w:r>
      <w:r w:rsidRPr="001E4F95">
        <w:rPr>
          <w:rFonts w:cs="Times New Roman"/>
          <w:color w:val="000000" w:themeColor="text1"/>
        </w:rPr>
        <w:t>保留经营内容的连续差异，并明确其代理变量属性。</w:t>
      </w:r>
    </w:p>
    <w:p w14:paraId="1B91D8A3" w14:textId="77777777" w:rsidR="00C46165" w:rsidRPr="001E4F95" w:rsidRDefault="00000000">
      <w:pPr>
        <w:pStyle w:val="a0"/>
        <w:spacing w:after="40"/>
        <w:ind w:left="40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创新点三：</w:t>
      </w:r>
      <w:r w:rsidRPr="001E4F95">
        <w:rPr>
          <w:rFonts w:cs="Times New Roman"/>
          <w:color w:val="000000" w:themeColor="text1"/>
          <w:lang w:eastAsia="zh-CN"/>
        </w:rPr>
        <w:t>将</w:t>
      </w:r>
      <w:r w:rsidRPr="001E4F95">
        <w:rPr>
          <w:rFonts w:cs="Times New Roman"/>
          <w:color w:val="000000" w:themeColor="text1"/>
          <w:lang w:eastAsia="zh-CN"/>
        </w:rPr>
        <w:t>“</w:t>
      </w:r>
      <w:r w:rsidRPr="001E4F95">
        <w:rPr>
          <w:rFonts w:cs="Times New Roman"/>
          <w:color w:val="000000" w:themeColor="text1"/>
          <w:lang w:eastAsia="zh-CN"/>
        </w:rPr>
        <w:t>数据审计</w:t>
      </w:r>
      <w:r w:rsidRPr="001E4F95">
        <w:rPr>
          <w:rFonts w:cs="Times New Roman"/>
          <w:color w:val="000000" w:themeColor="text1"/>
          <w:lang w:eastAsia="zh-CN"/>
        </w:rPr>
        <w:t>—</w:t>
      </w:r>
      <w:r w:rsidRPr="001E4F95">
        <w:rPr>
          <w:rFonts w:cs="Times New Roman"/>
          <w:color w:val="000000" w:themeColor="text1"/>
          <w:lang w:eastAsia="zh-CN"/>
        </w:rPr>
        <w:t>全量重跑</w:t>
      </w:r>
      <w:r w:rsidRPr="001E4F95">
        <w:rPr>
          <w:rFonts w:cs="Times New Roman"/>
          <w:color w:val="000000" w:themeColor="text1"/>
          <w:lang w:eastAsia="zh-CN"/>
        </w:rPr>
        <w:t>—</w:t>
      </w:r>
      <w:r w:rsidRPr="001E4F95">
        <w:rPr>
          <w:rFonts w:cs="Times New Roman"/>
          <w:color w:val="000000" w:themeColor="text1"/>
          <w:lang w:eastAsia="zh-CN"/>
        </w:rPr>
        <w:t>冲突决策</w:t>
      </w:r>
      <w:r w:rsidRPr="001E4F95">
        <w:rPr>
          <w:rFonts w:cs="Times New Roman"/>
          <w:color w:val="000000" w:themeColor="text1"/>
          <w:lang w:eastAsia="zh-CN"/>
        </w:rPr>
        <w:t>—</w:t>
      </w:r>
      <w:r w:rsidRPr="001E4F95">
        <w:rPr>
          <w:rFonts w:cs="Times New Roman"/>
          <w:color w:val="000000" w:themeColor="text1"/>
          <w:lang w:eastAsia="zh-CN"/>
        </w:rPr>
        <w:t>图表引用</w:t>
      </w:r>
      <w:r w:rsidRPr="001E4F95">
        <w:rPr>
          <w:rFonts w:cs="Times New Roman"/>
          <w:color w:val="000000" w:themeColor="text1"/>
          <w:lang w:eastAsia="zh-CN"/>
        </w:rPr>
        <w:t>”</w:t>
      </w:r>
      <w:r w:rsidRPr="001E4F95">
        <w:rPr>
          <w:rFonts w:cs="Times New Roman"/>
          <w:color w:val="000000" w:themeColor="text1"/>
          <w:lang w:eastAsia="zh-CN"/>
        </w:rPr>
        <w:t>组织为可复现证据链。正文数字全部绑定正式批次，避免预处理记录、截断案例和最终结果混用。</w:t>
      </w:r>
    </w:p>
    <w:p w14:paraId="4530B490" w14:textId="77777777" w:rsidR="00C46165" w:rsidRPr="001E4F95" w:rsidRDefault="00000000">
      <w:pPr>
        <w:pStyle w:val="a0"/>
        <w:spacing w:after="40"/>
        <w:ind w:left="40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创新点四：</w:t>
      </w:r>
      <w:r w:rsidRPr="001E4F95">
        <w:rPr>
          <w:rFonts w:cs="Times New Roman"/>
          <w:color w:val="000000" w:themeColor="text1"/>
          <w:lang w:eastAsia="zh-CN"/>
        </w:rPr>
        <w:t>实现识别、产业分析、风险提示、证据追踪和结果导出的</w:t>
      </w:r>
      <w:r w:rsidRPr="001E4F95">
        <w:rPr>
          <w:rFonts w:cs="Times New Roman"/>
          <w:color w:val="000000" w:themeColor="text1"/>
          <w:lang w:eastAsia="zh-CN"/>
        </w:rPr>
        <w:t>Web</w:t>
      </w:r>
      <w:r w:rsidRPr="001E4F95">
        <w:rPr>
          <w:rFonts w:cs="Times New Roman"/>
          <w:color w:val="000000" w:themeColor="text1"/>
          <w:lang w:eastAsia="zh-CN"/>
        </w:rPr>
        <w:t>原型，为统计人员提供可视化操作入口。</w:t>
      </w:r>
    </w:p>
    <w:p w14:paraId="788BDFDC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上述创新首先是框架创新和实践创新。由于当前尚未完成金标准标注与外部财务校准，本文不把规则覆盖差异表述为算法准确率，也不把相对指数表述为真实经济总量。</w:t>
      </w:r>
    </w:p>
    <w:p w14:paraId="2917FC2D" w14:textId="77777777" w:rsidR="00C46165" w:rsidRPr="001E4F95" w:rsidRDefault="00000000">
      <w:pPr>
        <w:pStyle w:val="1"/>
        <w:rPr>
          <w:color w:val="000000" w:themeColor="text1"/>
          <w:lang w:eastAsia="zh-CN"/>
        </w:rPr>
      </w:pPr>
      <w:bookmarkStart w:id="6" w:name="_Toc236510144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第二章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数据基础与治理过程</w:t>
      </w:r>
      <w:bookmarkEnd w:id="6"/>
    </w:p>
    <w:p w14:paraId="18320A90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7" w:name="_Toc236510145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2.1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数据来源与字段结构</w:t>
      </w:r>
      <w:bookmarkEnd w:id="7"/>
    </w:p>
    <w:p w14:paraId="52CC0357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研究使用合作单位提供的脱敏企业登记信息。原始</w:t>
      </w:r>
      <w:r w:rsidRPr="001E4F95">
        <w:rPr>
          <w:rFonts w:cs="Times New Roman"/>
          <w:color w:val="000000" w:themeColor="text1"/>
          <w:lang w:eastAsia="zh-CN"/>
        </w:rPr>
        <w:t>Excel</w:t>
      </w:r>
      <w:r w:rsidRPr="001E4F95">
        <w:rPr>
          <w:rFonts w:cs="Times New Roman"/>
          <w:color w:val="000000" w:themeColor="text1"/>
          <w:lang w:eastAsia="zh-CN"/>
        </w:rPr>
        <w:t>含</w:t>
      </w:r>
      <w:r w:rsidRPr="001E4F95">
        <w:rPr>
          <w:rFonts w:cs="Times New Roman"/>
          <w:color w:val="000000" w:themeColor="text1"/>
          <w:lang w:eastAsia="zh-CN"/>
        </w:rPr>
        <w:t>76,687</w:t>
      </w:r>
      <w:r w:rsidRPr="001E4F95">
        <w:rPr>
          <w:rFonts w:cs="Times New Roman"/>
          <w:color w:val="000000" w:themeColor="text1"/>
          <w:lang w:eastAsia="zh-CN"/>
        </w:rPr>
        <w:t>条记录，核心字段为统一社会信用代码、详细名称、行业代码和主要业务活动。审计时同时记录文件大小、修改时间和</w:t>
      </w:r>
      <w:r w:rsidRPr="001E4F95">
        <w:rPr>
          <w:rFonts w:cs="Times New Roman"/>
          <w:color w:val="000000" w:themeColor="text1"/>
          <w:lang w:eastAsia="zh-CN"/>
        </w:rPr>
        <w:t>SHA-256</w:t>
      </w:r>
      <w:r w:rsidRPr="001E4F95">
        <w:rPr>
          <w:rFonts w:cs="Times New Roman"/>
          <w:color w:val="000000" w:themeColor="text1"/>
          <w:lang w:eastAsia="zh-CN"/>
        </w:rPr>
        <w:t>哈希，以保证后续复算能够定位到同一数据版本。</w:t>
      </w:r>
    </w:p>
    <w:p w14:paraId="77A8EFF4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表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2-1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原始数据字段及研究用途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3288"/>
      </w:tblGrid>
      <w:tr w:rsidR="00C46165" w:rsidRPr="001E4F95" w14:paraId="41E3AFE4" w14:textId="77777777">
        <w:trPr>
          <w:jc w:val="center"/>
        </w:trPr>
        <w:tc>
          <w:tcPr>
            <w:tcW w:w="1814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0A4B32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字段</w:t>
            </w:r>
          </w:p>
        </w:tc>
        <w:tc>
          <w:tcPr>
            <w:tcW w:w="2835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F371D7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用途</w:t>
            </w:r>
          </w:p>
        </w:tc>
        <w:tc>
          <w:tcPr>
            <w:tcW w:w="3288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3132F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处理原则</w:t>
            </w:r>
          </w:p>
        </w:tc>
      </w:tr>
      <w:tr w:rsidR="00C46165" w:rsidRPr="001E4F95" w14:paraId="459E4ABC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F920C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统一社会信用代码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F2B67E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企业记录去重与结果回接</w:t>
            </w:r>
          </w:p>
        </w:tc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4FDB56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仅作脱敏数据中的唯一标识</w:t>
            </w:r>
          </w:p>
        </w:tc>
      </w:tr>
      <w:tr w:rsidR="00C46165" w:rsidRPr="001E4F95" w14:paraId="34FDBA34" w14:textId="77777777">
        <w:trPr>
          <w:jc w:val="center"/>
        </w:trPr>
        <w:tc>
          <w:tcPr>
            <w:tcW w:w="1814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5D5A0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详细名称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1585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名称词辅助、区域字符串抽取</w:t>
            </w:r>
          </w:p>
        </w:tc>
        <w:tc>
          <w:tcPr>
            <w:tcW w:w="328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67C5C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区域结果不得替代注册地址</w:t>
            </w:r>
          </w:p>
        </w:tc>
      </w:tr>
      <w:tr w:rsidR="00C46165" w:rsidRPr="001E4F95" w14:paraId="0E8F2D46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D1C22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行业代码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D038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直接体育、间接相关和其他类型判定</w:t>
            </w:r>
          </w:p>
        </w:tc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CBD8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按</w:t>
            </w:r>
            <w:r w:rsidRPr="001E4F95">
              <w:rPr>
                <w:rFonts w:cs="Times New Roman"/>
                <w:color w:val="000000" w:themeColor="text1"/>
                <w:sz w:val="19"/>
              </w:rPr>
              <w:t>GB/T 4754—2017</w:t>
            </w:r>
            <w:r w:rsidRPr="001E4F95">
              <w:rPr>
                <w:rFonts w:cs="Times New Roman"/>
                <w:color w:val="000000" w:themeColor="text1"/>
                <w:sz w:val="19"/>
              </w:rPr>
              <w:t>规则映射</w:t>
            </w:r>
          </w:p>
        </w:tc>
      </w:tr>
      <w:tr w:rsidR="00C46165" w:rsidRPr="001E4F95" w14:paraId="3DBC940B" w14:textId="77777777">
        <w:trPr>
          <w:jc w:val="center"/>
        </w:trPr>
        <w:tc>
          <w:tcPr>
            <w:tcW w:w="1814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89260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主要业务活动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42C58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业务线切分、分词、词典匹配和业态归类</w:t>
            </w:r>
          </w:p>
        </w:tc>
        <w:tc>
          <w:tcPr>
            <w:tcW w:w="328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5D9A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保留原文并生成处理字段</w:t>
            </w:r>
          </w:p>
        </w:tc>
      </w:tr>
    </w:tbl>
    <w:p w14:paraId="06884DCE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8" w:name="_Toc236510146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2.2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数据质量审计</w:t>
      </w:r>
      <w:bookmarkEnd w:id="8"/>
    </w:p>
    <w:p w14:paraId="361D8937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表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2-2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原始数据质量检查结果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1701"/>
        <w:gridCol w:w="3855"/>
      </w:tblGrid>
      <w:tr w:rsidR="00C46165" w:rsidRPr="001E4F95" w14:paraId="09E8ACAF" w14:textId="77777777">
        <w:trPr>
          <w:jc w:val="center"/>
        </w:trPr>
        <w:tc>
          <w:tcPr>
            <w:tcW w:w="238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25D15B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检查项</w:t>
            </w:r>
          </w:p>
        </w:tc>
        <w:tc>
          <w:tcPr>
            <w:tcW w:w="170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D69C0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结果</w:t>
            </w:r>
          </w:p>
        </w:tc>
        <w:tc>
          <w:tcPr>
            <w:tcW w:w="3855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EAE7D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处理决定</w:t>
            </w:r>
          </w:p>
        </w:tc>
      </w:tr>
      <w:tr w:rsidR="00C46165" w:rsidRPr="001E4F95" w14:paraId="58D1BF65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355CB0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记录总数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19EBC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76,687</w:t>
            </w:r>
            <w:r w:rsidRPr="001E4F95">
              <w:rPr>
                <w:rFonts w:cs="Times New Roman"/>
                <w:color w:val="000000" w:themeColor="text1"/>
                <w:sz w:val="19"/>
              </w:rPr>
              <w:t>条</w:t>
            </w:r>
          </w:p>
        </w:tc>
        <w:tc>
          <w:tcPr>
            <w:tcW w:w="3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3612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作为全量分析分母</w:t>
            </w:r>
          </w:p>
        </w:tc>
      </w:tr>
      <w:tr w:rsidR="00C46165" w:rsidRPr="001E4F95" w14:paraId="2A2265A0" w14:textId="77777777">
        <w:trPr>
          <w:jc w:val="center"/>
        </w:trPr>
        <w:tc>
          <w:tcPr>
            <w:tcW w:w="238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87D6E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完全重复记录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E0A27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0</w:t>
            </w:r>
            <w:r w:rsidRPr="001E4F95">
              <w:rPr>
                <w:rFonts w:cs="Times New Roman"/>
                <w:color w:val="000000" w:themeColor="text1"/>
                <w:sz w:val="19"/>
              </w:rPr>
              <w:t>条</w:t>
            </w:r>
          </w:p>
        </w:tc>
        <w:tc>
          <w:tcPr>
            <w:tcW w:w="385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60108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无须删除</w:t>
            </w:r>
          </w:p>
        </w:tc>
      </w:tr>
      <w:tr w:rsidR="00C46165" w:rsidRPr="001E4F95" w14:paraId="71CA3755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17D2D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重复统一社会信用代码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BD6D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0</w:t>
            </w:r>
            <w:r w:rsidRPr="001E4F95">
              <w:rPr>
                <w:rFonts w:cs="Times New Roman"/>
                <w:color w:val="000000" w:themeColor="text1"/>
                <w:sz w:val="19"/>
              </w:rPr>
              <w:t>条</w:t>
            </w:r>
          </w:p>
        </w:tc>
        <w:tc>
          <w:tcPr>
            <w:tcW w:w="3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7E492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唯一键检查通过</w:t>
            </w:r>
          </w:p>
        </w:tc>
      </w:tr>
      <w:tr w:rsidR="00C46165" w:rsidRPr="001E4F95" w14:paraId="0DA35881" w14:textId="77777777">
        <w:trPr>
          <w:jc w:val="center"/>
        </w:trPr>
        <w:tc>
          <w:tcPr>
            <w:tcW w:w="238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9BEF9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主要业务活动缺失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0437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98</w:t>
            </w:r>
            <w:r w:rsidRPr="001E4F95">
              <w:rPr>
                <w:rFonts w:cs="Times New Roman"/>
                <w:color w:val="000000" w:themeColor="text1"/>
                <w:sz w:val="19"/>
              </w:rPr>
              <w:t>条</w:t>
            </w:r>
          </w:p>
        </w:tc>
        <w:tc>
          <w:tcPr>
            <w:tcW w:w="385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89844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不进行文本推断，保留代码通道</w:t>
            </w:r>
          </w:p>
        </w:tc>
      </w:tr>
      <w:tr w:rsidR="00C46165" w:rsidRPr="001E4F95" w14:paraId="7D38C17B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70AC1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行业代码缺失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4694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0</w:t>
            </w:r>
            <w:r w:rsidRPr="001E4F95">
              <w:rPr>
                <w:rFonts w:cs="Times New Roman"/>
                <w:color w:val="000000" w:themeColor="text1"/>
                <w:sz w:val="19"/>
              </w:rPr>
              <w:t>条</w:t>
            </w:r>
          </w:p>
        </w:tc>
        <w:tc>
          <w:tcPr>
            <w:tcW w:w="3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88AF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本批次未发现</w:t>
            </w:r>
          </w:p>
        </w:tc>
      </w:tr>
    </w:tbl>
    <w:p w14:paraId="05638718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主要业务活动缺失</w:t>
      </w:r>
      <w:r w:rsidRPr="001E4F95">
        <w:rPr>
          <w:rFonts w:cs="Times New Roman"/>
          <w:color w:val="000000" w:themeColor="text1"/>
          <w:lang w:eastAsia="zh-CN"/>
        </w:rPr>
        <w:t>98</w:t>
      </w:r>
      <w:r w:rsidRPr="001E4F95">
        <w:rPr>
          <w:rFonts w:cs="Times New Roman"/>
          <w:color w:val="000000" w:themeColor="text1"/>
          <w:lang w:eastAsia="zh-CN"/>
        </w:rPr>
        <w:t>条，占全样本约</w:t>
      </w:r>
      <w:r w:rsidRPr="001E4F95">
        <w:rPr>
          <w:rFonts w:cs="Times New Roman"/>
          <w:color w:val="000000" w:themeColor="text1"/>
          <w:lang w:eastAsia="zh-CN"/>
        </w:rPr>
        <w:t>0.13%</w:t>
      </w:r>
      <w:r w:rsidRPr="001E4F95">
        <w:rPr>
          <w:rFonts w:cs="Times New Roman"/>
          <w:color w:val="000000" w:themeColor="text1"/>
          <w:lang w:eastAsia="zh-CN"/>
        </w:rPr>
        <w:t>。这些记录无法提供文本证据，系统不以企业名称强行补造业务内容；若行业代码存在，则仅保留代码先验。该处理降低了误判风险，也使缺失值影响可被明确追踪。</w:t>
      </w:r>
    </w:p>
    <w:p w14:paraId="56425D7D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639DDD05" wp14:editId="3A34FC95">
            <wp:extent cx="5472000" cy="31196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数据处理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5FF9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2-1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数据治理与可追溯处理流程</w:t>
      </w:r>
    </w:p>
    <w:p w14:paraId="41B3ABF3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sz w:val="18"/>
          <w:lang w:eastAsia="zh-CN"/>
        </w:rPr>
        <w:t>资料来源：本研究依据原始</w:t>
      </w:r>
      <w:r w:rsidRPr="001E4F95">
        <w:rPr>
          <w:rFonts w:cs="Times New Roman"/>
          <w:color w:val="000000" w:themeColor="text1"/>
          <w:sz w:val="18"/>
          <w:lang w:eastAsia="zh-CN"/>
        </w:rPr>
        <w:t>Excel</w:t>
      </w:r>
      <w:r w:rsidRPr="001E4F95">
        <w:rPr>
          <w:rFonts w:cs="Times New Roman"/>
          <w:color w:val="000000" w:themeColor="text1"/>
          <w:sz w:val="18"/>
          <w:lang w:eastAsia="zh-CN"/>
        </w:rPr>
        <w:t>、处理后</w:t>
      </w:r>
      <w:r w:rsidRPr="001E4F95">
        <w:rPr>
          <w:rFonts w:cs="Times New Roman"/>
          <w:color w:val="000000" w:themeColor="text1"/>
          <w:sz w:val="18"/>
          <w:lang w:eastAsia="zh-CN"/>
        </w:rPr>
        <w:t>CSV</w:t>
      </w:r>
      <w:r w:rsidRPr="001E4F95">
        <w:rPr>
          <w:rFonts w:cs="Times New Roman"/>
          <w:color w:val="000000" w:themeColor="text1"/>
          <w:sz w:val="18"/>
          <w:lang w:eastAsia="zh-CN"/>
        </w:rPr>
        <w:t>和正式重跑文件绘制。</w:t>
      </w:r>
    </w:p>
    <w:p w14:paraId="24D8509C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9" w:name="_Toc236510147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2.3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文本处理与业态映射</w:t>
      </w:r>
      <w:bookmarkEnd w:id="9"/>
    </w:p>
    <w:p w14:paraId="19994784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文本处理依次执行字符规范化、业务线切分、中文分词、体育关键词匹配和业态归类。中文分词由项目实际使用的</w:t>
      </w:r>
      <w:r w:rsidRPr="001E4F95">
        <w:rPr>
          <w:rFonts w:cs="Times New Roman"/>
          <w:color w:val="000000" w:themeColor="text1"/>
          <w:lang w:eastAsia="zh-CN"/>
        </w:rPr>
        <w:t>jieba</w:t>
      </w:r>
      <w:r w:rsidRPr="001E4F95">
        <w:rPr>
          <w:rFonts w:cs="Times New Roman"/>
          <w:color w:val="000000" w:themeColor="text1"/>
          <w:lang w:eastAsia="zh-CN"/>
        </w:rPr>
        <w:t>组件完成，并支持加载自定义词典</w:t>
      </w:r>
      <w:r w:rsidRPr="001E4F95">
        <w:rPr>
          <w:rFonts w:cs="Times New Roman"/>
          <w:color w:val="000000" w:themeColor="text1"/>
          <w:lang w:eastAsia="zh-CN"/>
        </w:rPr>
        <w:t>[7]</w:t>
      </w:r>
      <w:r w:rsidRPr="001E4F95">
        <w:rPr>
          <w:rFonts w:cs="Times New Roman"/>
          <w:color w:val="000000" w:themeColor="text1"/>
          <w:lang w:eastAsia="zh-CN"/>
        </w:rPr>
        <w:t>。词项权重设计参考经典文本检索中的词项加权思想</w:t>
      </w:r>
      <w:r w:rsidRPr="001E4F95">
        <w:rPr>
          <w:rFonts w:cs="Times New Roman"/>
          <w:color w:val="000000" w:themeColor="text1"/>
          <w:lang w:eastAsia="zh-CN"/>
        </w:rPr>
        <w:t>[6]</w:t>
      </w:r>
      <w:r w:rsidRPr="001E4F95">
        <w:rPr>
          <w:rFonts w:cs="Times New Roman"/>
          <w:color w:val="000000" w:themeColor="text1"/>
          <w:lang w:eastAsia="zh-CN"/>
        </w:rPr>
        <w:t>，但本项目没有训练统计分类器。</w:t>
      </w:r>
    </w:p>
    <w:p w14:paraId="28595A70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操作性业态包括体育用品、健身休闲、体育赛事、体育培训、体育场馆、体育管理、电子竞技、体育传媒和体育彩票。其作用是将命中证据归并为稳定的分析标签；正式统计报表仍需依据体育产业统计分类（</w:t>
      </w:r>
      <w:r w:rsidRPr="001E4F95">
        <w:rPr>
          <w:rFonts w:cs="Times New Roman"/>
          <w:color w:val="000000" w:themeColor="text1"/>
          <w:lang w:eastAsia="zh-CN"/>
        </w:rPr>
        <w:t>2019</w:t>
      </w:r>
      <w:r w:rsidRPr="001E4F95">
        <w:rPr>
          <w:rFonts w:cs="Times New Roman"/>
          <w:color w:val="000000" w:themeColor="text1"/>
          <w:lang w:eastAsia="zh-CN"/>
        </w:rPr>
        <w:t>）进行复核映射。</w:t>
      </w:r>
    </w:p>
    <w:p w14:paraId="06EF391B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10" w:name="_Toc236510148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2.4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数据适用边界</w:t>
      </w:r>
      <w:bookmarkEnd w:id="10"/>
    </w:p>
    <w:p w14:paraId="226E800D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登记文本</w:t>
      </w:r>
      <w:r w:rsidRPr="001E4F95">
        <w:rPr>
          <w:rFonts w:cs="Times New Roman"/>
          <w:color w:val="000000" w:themeColor="text1"/>
          <w:lang w:eastAsia="zh-CN"/>
        </w:rPr>
        <w:t>反映企业申报经营内容，不直接等同于实际收入、就业或增加值。企业可能登记但尚未开展某项业务，也可能出现文本更新滞后。</w:t>
      </w:r>
      <w:r w:rsidRPr="001E4F95">
        <w:rPr>
          <w:rFonts w:cs="Times New Roman"/>
          <w:color w:val="000000" w:themeColor="text1"/>
          <w:lang w:eastAsia="zh-CN"/>
        </w:rPr>
        <w:t>SportFusion</w:t>
      </w:r>
      <w:r w:rsidRPr="001E4F95">
        <w:rPr>
          <w:rFonts w:cs="Times New Roman"/>
          <w:color w:val="000000" w:themeColor="text1"/>
          <w:lang w:eastAsia="zh-CN"/>
        </w:rPr>
        <w:t>适合用于名录扩展、线索发现和结构监测，不应替代统计调查、税务数据或企业财务报表。</w:t>
      </w:r>
    </w:p>
    <w:p w14:paraId="043331E4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区域字段由企业名称中的地名字符串抽取。该方法可以形成初步空间分布，但无法处理名称不含地名、名称地名与注册地址不一致以及省本级记录等情况。因此，区域结果只用于探索性比较，正式发布前必须回接登记地址字段。</w:t>
      </w:r>
    </w:p>
    <w:p w14:paraId="3B0DB006" w14:textId="77777777" w:rsidR="00C46165" w:rsidRPr="001E4F95" w:rsidRDefault="00000000">
      <w:pPr>
        <w:pStyle w:val="1"/>
        <w:rPr>
          <w:color w:val="000000" w:themeColor="text1"/>
          <w:lang w:eastAsia="zh-CN"/>
        </w:rPr>
      </w:pPr>
      <w:bookmarkStart w:id="11" w:name="_Toc236510149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第三章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双通道识别与比重测算方法</w:t>
      </w:r>
      <w:bookmarkEnd w:id="11"/>
    </w:p>
    <w:p w14:paraId="1726B8DD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12" w:name="_Toc236510150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3.1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文本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—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代码双通道框架</w:t>
      </w:r>
      <w:bookmarkEnd w:id="12"/>
    </w:p>
    <w:p w14:paraId="438EB23A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代码通道回答</w:t>
      </w:r>
      <w:r w:rsidRPr="001E4F95">
        <w:rPr>
          <w:rFonts w:cs="Times New Roman"/>
          <w:color w:val="000000" w:themeColor="text1"/>
          <w:lang w:eastAsia="zh-CN"/>
        </w:rPr>
        <w:t>“</w:t>
      </w:r>
      <w:r w:rsidRPr="001E4F95">
        <w:rPr>
          <w:rFonts w:cs="Times New Roman"/>
          <w:color w:val="000000" w:themeColor="text1"/>
          <w:lang w:eastAsia="zh-CN"/>
        </w:rPr>
        <w:t>登记主业是否与体育直接相关</w:t>
      </w:r>
      <w:r w:rsidRPr="001E4F95">
        <w:rPr>
          <w:rFonts w:cs="Times New Roman"/>
          <w:color w:val="000000" w:themeColor="text1"/>
          <w:lang w:eastAsia="zh-CN"/>
        </w:rPr>
        <w:t>”</w:t>
      </w:r>
      <w:r w:rsidRPr="001E4F95">
        <w:rPr>
          <w:rFonts w:cs="Times New Roman"/>
          <w:color w:val="000000" w:themeColor="text1"/>
          <w:lang w:eastAsia="zh-CN"/>
        </w:rPr>
        <w:t>，文本通道回答</w:t>
      </w:r>
      <w:r w:rsidRPr="001E4F95">
        <w:rPr>
          <w:rFonts w:cs="Times New Roman"/>
          <w:color w:val="000000" w:themeColor="text1"/>
          <w:lang w:eastAsia="zh-CN"/>
        </w:rPr>
        <w:t>“</w:t>
      </w:r>
      <w:r w:rsidRPr="001E4F95">
        <w:rPr>
          <w:rFonts w:cs="Times New Roman"/>
          <w:color w:val="000000" w:themeColor="text1"/>
          <w:lang w:eastAsia="zh-CN"/>
        </w:rPr>
        <w:t>企业实际申报了哪些体育业务</w:t>
      </w:r>
      <w:r w:rsidRPr="001E4F95">
        <w:rPr>
          <w:rFonts w:cs="Times New Roman"/>
          <w:color w:val="000000" w:themeColor="text1"/>
          <w:lang w:eastAsia="zh-CN"/>
        </w:rPr>
        <w:t>”</w:t>
      </w:r>
      <w:r w:rsidRPr="001E4F95">
        <w:rPr>
          <w:rFonts w:cs="Times New Roman"/>
          <w:color w:val="000000" w:themeColor="text1"/>
          <w:lang w:eastAsia="zh-CN"/>
        </w:rPr>
        <w:t>。两条通道先独立形成证据，再由规则层进行融合。这样的设计可以定位每一次判定来自何种代码、何条业务线和哪些关键词，便于统计人员复核。</w:t>
      </w:r>
    </w:p>
    <w:p w14:paraId="545840E6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drawing>
          <wp:inline distT="0" distB="0" distL="0" distR="0" wp14:anchorId="1DCAABF5" wp14:editId="0333A8F4">
            <wp:extent cx="5472000" cy="31196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双通道识别框架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8BA0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3-1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文本与行业代码双通道识别框架</w:t>
      </w:r>
    </w:p>
    <w:p w14:paraId="20FF4B53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color w:val="000000" w:themeColor="text1"/>
          <w:sz w:val="18"/>
        </w:rPr>
        <w:t>资料来源：本研究依据</w:t>
      </w:r>
      <w:r w:rsidRPr="001E4F95">
        <w:rPr>
          <w:rFonts w:cs="Times New Roman"/>
          <w:color w:val="000000" w:themeColor="text1"/>
          <w:sz w:val="18"/>
        </w:rPr>
        <w:t>backend/services/sport_recognition.py</w:t>
      </w:r>
      <w:r w:rsidRPr="001E4F95">
        <w:rPr>
          <w:rFonts w:cs="Times New Roman"/>
          <w:color w:val="000000" w:themeColor="text1"/>
          <w:sz w:val="18"/>
        </w:rPr>
        <w:t>的实际逻辑绘制。</w:t>
      </w:r>
    </w:p>
    <w:p w14:paraId="7CF96C97" w14:textId="77777777" w:rsidR="00C46165" w:rsidRPr="001E4F95" w:rsidRDefault="00000000">
      <w:pPr>
        <w:pStyle w:val="21"/>
        <w:rPr>
          <w:color w:val="000000" w:themeColor="text1"/>
        </w:rPr>
      </w:pPr>
      <w:bookmarkStart w:id="13" w:name="_Toc236510151"/>
      <w:r w:rsidRPr="001E4F95">
        <w:rPr>
          <w:rFonts w:ascii="Times New Roman" w:eastAsia="宋体" w:hAnsi="Times New Roman" w:cs="Times New Roman"/>
          <w:color w:val="000000" w:themeColor="text1"/>
        </w:rPr>
        <w:t xml:space="preserve">3.2 </w:t>
      </w:r>
      <w:r w:rsidRPr="001E4F95">
        <w:rPr>
          <w:rFonts w:ascii="Times New Roman" w:eastAsia="宋体" w:hAnsi="Times New Roman" w:cs="Times New Roman"/>
          <w:color w:val="000000" w:themeColor="text1"/>
        </w:rPr>
        <w:t>业务线识别与最终判定</w:t>
      </w:r>
      <w:bookmarkEnd w:id="13"/>
    </w:p>
    <w:p w14:paraId="07C7DAF7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</w:rPr>
        <w:t>系统将主要业务活动按分隔符切分为业务线，并逐条匹配体育词典。代码类型分为直接体育、间接相关和其他三类；体育相关判定要求</w:t>
      </w:r>
      <w:r w:rsidRPr="001E4F95">
        <w:rPr>
          <w:rFonts w:cs="Times New Roman"/>
          <w:color w:val="000000" w:themeColor="text1"/>
        </w:rPr>
        <w:t>SportRatio</w:t>
      </w:r>
      <w:r w:rsidRPr="001E4F95">
        <w:rPr>
          <w:rFonts w:cs="Times New Roman"/>
          <w:color w:val="000000" w:themeColor="text1"/>
        </w:rPr>
        <w:t>不低于</w:t>
      </w:r>
      <w:r w:rsidRPr="001E4F95">
        <w:rPr>
          <w:rFonts w:cs="Times New Roman"/>
          <w:color w:val="000000" w:themeColor="text1"/>
        </w:rPr>
        <w:t>0.10</w:t>
      </w:r>
      <w:r w:rsidRPr="001E4F95">
        <w:rPr>
          <w:rFonts w:cs="Times New Roman"/>
          <w:color w:val="000000" w:themeColor="text1"/>
        </w:rPr>
        <w:t>且形成主要体育业态，或由直接体育代码提供高强度先验。</w:t>
      </w:r>
      <w:r w:rsidRPr="001E4F95">
        <w:rPr>
          <w:rFonts w:cs="Times New Roman"/>
          <w:color w:val="000000" w:themeColor="text1"/>
          <w:lang w:eastAsia="zh-CN"/>
        </w:rPr>
        <w:t>阈值是当前工程规则，不是通过人工金标准优化得到的最优阈值。</w:t>
      </w:r>
    </w:p>
    <w:p w14:paraId="1927DDD2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表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3-1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双通道证据组合及解释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1361"/>
        <w:gridCol w:w="2494"/>
        <w:gridCol w:w="2835"/>
      </w:tblGrid>
      <w:tr w:rsidR="00C46165" w:rsidRPr="001E4F95" w14:paraId="70E00D4A" w14:textId="77777777">
        <w:trPr>
          <w:jc w:val="center"/>
        </w:trPr>
        <w:tc>
          <w:tcPr>
            <w:tcW w:w="136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757B96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代码证据</w:t>
            </w:r>
          </w:p>
        </w:tc>
        <w:tc>
          <w:tcPr>
            <w:tcW w:w="136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2E91C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文本证据</w:t>
            </w:r>
          </w:p>
        </w:tc>
        <w:tc>
          <w:tcPr>
            <w:tcW w:w="2494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592D1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处理</w:t>
            </w:r>
          </w:p>
        </w:tc>
        <w:tc>
          <w:tcPr>
            <w:tcW w:w="2835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E25E2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解释</w:t>
            </w:r>
          </w:p>
        </w:tc>
      </w:tr>
      <w:tr w:rsidR="00C46165" w:rsidRPr="001E4F95" w14:paraId="18DE95F8" w14:textId="77777777"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AC6F2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lastRenderedPageBreak/>
              <w:t>直接体育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F147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命中</w:t>
            </w:r>
          </w:p>
        </w:tc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02DC8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识别为体育相关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93FB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代码与经营文本相互支持</w:t>
            </w:r>
          </w:p>
        </w:tc>
      </w:tr>
      <w:tr w:rsidR="00C46165" w:rsidRPr="001E4F95" w14:paraId="04536456" w14:textId="77777777">
        <w:trPr>
          <w:jc w:val="center"/>
        </w:trPr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C04F1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直接体育</w:t>
            </w:r>
          </w:p>
        </w:tc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64DB7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未命中</w:t>
            </w:r>
          </w:p>
        </w:tc>
        <w:tc>
          <w:tcPr>
            <w:tcW w:w="2494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06036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保留代码通道并标记复核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97E5A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可能存在文本缺失或登记滞后</w:t>
            </w:r>
          </w:p>
        </w:tc>
      </w:tr>
      <w:tr w:rsidR="00C46165" w:rsidRPr="001E4F95" w14:paraId="68E77947" w14:textId="77777777"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CF117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间接相关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9BB86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命中</w:t>
            </w:r>
          </w:p>
        </w:tc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9BD80C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识别并标记跨界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BC326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文本补足代码边界</w:t>
            </w:r>
          </w:p>
        </w:tc>
      </w:tr>
      <w:tr w:rsidR="00C46165" w:rsidRPr="001E4F95" w14:paraId="4D1FF4CD" w14:textId="77777777">
        <w:trPr>
          <w:jc w:val="center"/>
        </w:trPr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249866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其他</w:t>
            </w:r>
          </w:p>
        </w:tc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74157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命中</w:t>
            </w:r>
          </w:p>
        </w:tc>
        <w:tc>
          <w:tcPr>
            <w:tcW w:w="2494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2A0F7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达到阈值后识别并标记跨界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5EF09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由文本发现的非主业体育经营</w:t>
            </w:r>
          </w:p>
        </w:tc>
      </w:tr>
      <w:tr w:rsidR="00C46165" w:rsidRPr="001E4F95" w14:paraId="373FCD8A" w14:textId="77777777">
        <w:trPr>
          <w:jc w:val="center"/>
        </w:trPr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F2FB7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其他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6781E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未命中</w:t>
            </w:r>
          </w:p>
        </w:tc>
        <w:tc>
          <w:tcPr>
            <w:tcW w:w="24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ADB4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不识别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4C395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缺少体育业务证据</w:t>
            </w:r>
          </w:p>
        </w:tc>
      </w:tr>
    </w:tbl>
    <w:p w14:paraId="25BCFD61" w14:textId="77777777" w:rsidR="00C46165" w:rsidRPr="001E4F95" w:rsidRDefault="00000000">
      <w:pPr>
        <w:pStyle w:val="21"/>
        <w:rPr>
          <w:color w:val="000000" w:themeColor="text1"/>
        </w:rPr>
      </w:pPr>
      <w:bookmarkStart w:id="14" w:name="_Toc236510152"/>
      <w:r w:rsidRPr="001E4F95">
        <w:rPr>
          <w:rFonts w:ascii="Times New Roman" w:eastAsia="宋体" w:hAnsi="Times New Roman" w:cs="Times New Roman"/>
          <w:color w:val="000000" w:themeColor="text1"/>
        </w:rPr>
        <w:t>3.3 SportRatio</w:t>
      </w:r>
      <w:r w:rsidRPr="001E4F95">
        <w:rPr>
          <w:rFonts w:ascii="Times New Roman" w:eastAsia="宋体" w:hAnsi="Times New Roman" w:cs="Times New Roman"/>
          <w:color w:val="000000" w:themeColor="text1"/>
        </w:rPr>
        <w:t>四维加权</w:t>
      </w:r>
      <w:bookmarkEnd w:id="14"/>
    </w:p>
    <w:p w14:paraId="5E512856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在缺少分业务营收数据时，项目以四项可解释特征构造相对代理值。</w:t>
      </w:r>
      <w:r w:rsidRPr="001E4F95">
        <w:rPr>
          <w:rFonts w:cs="Times New Roman"/>
          <w:color w:val="000000" w:themeColor="text1"/>
          <w:lang w:eastAsia="zh-CN"/>
        </w:rPr>
        <w:t>W1</w:t>
      </w:r>
      <w:r w:rsidRPr="001E4F95">
        <w:rPr>
          <w:rFonts w:cs="Times New Roman"/>
          <w:color w:val="000000" w:themeColor="text1"/>
          <w:lang w:eastAsia="zh-CN"/>
        </w:rPr>
        <w:t>表示体育业务线占全部业务线的比例；</w:t>
      </w:r>
      <w:r w:rsidRPr="001E4F95">
        <w:rPr>
          <w:rFonts w:cs="Times New Roman"/>
          <w:color w:val="000000" w:themeColor="text1"/>
          <w:lang w:eastAsia="zh-CN"/>
        </w:rPr>
        <w:t>W2</w:t>
      </w:r>
      <w:r w:rsidRPr="001E4F95">
        <w:rPr>
          <w:rFonts w:cs="Times New Roman"/>
          <w:color w:val="000000" w:themeColor="text1"/>
          <w:lang w:eastAsia="zh-CN"/>
        </w:rPr>
        <w:t>表示归一化后的体育关键词密度；</w:t>
      </w:r>
      <w:r w:rsidRPr="001E4F95">
        <w:rPr>
          <w:rFonts w:cs="Times New Roman"/>
          <w:color w:val="000000" w:themeColor="text1"/>
          <w:lang w:eastAsia="zh-CN"/>
        </w:rPr>
        <w:t>W3</w:t>
      </w:r>
      <w:r w:rsidRPr="001E4F95">
        <w:rPr>
          <w:rFonts w:cs="Times New Roman"/>
          <w:color w:val="000000" w:themeColor="text1"/>
          <w:lang w:eastAsia="zh-CN"/>
        </w:rPr>
        <w:t>表示行业代码先验，直接体育、间接相关和其他分别取</w:t>
      </w:r>
      <w:r w:rsidRPr="001E4F95">
        <w:rPr>
          <w:rFonts w:cs="Times New Roman"/>
          <w:color w:val="000000" w:themeColor="text1"/>
          <w:lang w:eastAsia="zh-CN"/>
        </w:rPr>
        <w:t>0.85</w:t>
      </w:r>
      <w:r w:rsidRPr="001E4F95">
        <w:rPr>
          <w:rFonts w:cs="Times New Roman"/>
          <w:color w:val="000000" w:themeColor="text1"/>
          <w:lang w:eastAsia="zh-CN"/>
        </w:rPr>
        <w:t>、</w:t>
      </w:r>
      <w:r w:rsidRPr="001E4F95">
        <w:rPr>
          <w:rFonts w:cs="Times New Roman"/>
          <w:color w:val="000000" w:themeColor="text1"/>
          <w:lang w:eastAsia="zh-CN"/>
        </w:rPr>
        <w:t>0.30</w:t>
      </w:r>
      <w:r w:rsidRPr="001E4F95">
        <w:rPr>
          <w:rFonts w:cs="Times New Roman"/>
          <w:color w:val="000000" w:themeColor="text1"/>
          <w:lang w:eastAsia="zh-CN"/>
        </w:rPr>
        <w:t>和</w:t>
      </w:r>
      <w:r w:rsidRPr="001E4F95">
        <w:rPr>
          <w:rFonts w:cs="Times New Roman"/>
          <w:color w:val="000000" w:themeColor="text1"/>
          <w:lang w:eastAsia="zh-CN"/>
        </w:rPr>
        <w:t>0</w:t>
      </w:r>
      <w:r w:rsidRPr="001E4F95">
        <w:rPr>
          <w:rFonts w:cs="Times New Roman"/>
          <w:color w:val="000000" w:themeColor="text1"/>
          <w:lang w:eastAsia="zh-CN"/>
        </w:rPr>
        <w:t>；</w:t>
      </w:r>
      <w:r w:rsidRPr="001E4F95">
        <w:rPr>
          <w:rFonts w:cs="Times New Roman"/>
          <w:color w:val="000000" w:themeColor="text1"/>
          <w:lang w:eastAsia="zh-CN"/>
        </w:rPr>
        <w:t>W4</w:t>
      </w:r>
      <w:r w:rsidRPr="001E4F95">
        <w:rPr>
          <w:rFonts w:cs="Times New Roman"/>
          <w:color w:val="000000" w:themeColor="text1"/>
          <w:lang w:eastAsia="zh-CN"/>
        </w:rPr>
        <w:t>表示命中的体育业态数占项目九类业态的比例。</w:t>
      </w:r>
    </w:p>
    <w:p w14:paraId="6A854AA0" w14:textId="77777777" w:rsidR="00C46165" w:rsidRPr="001E4F95" w:rsidRDefault="00000000">
      <w:pPr>
        <w:spacing w:before="120" w:after="12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b/>
          <w:color w:val="000000" w:themeColor="text1"/>
        </w:rPr>
        <w:t>SportRatio = 0.40W1 + 0.25W2 + 0.25W3 + 0.10W4</w:t>
      </w:r>
    </w:p>
    <w:p w14:paraId="168CBEBC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b/>
          <w:color w:val="000000" w:themeColor="text1"/>
          <w:sz w:val="21"/>
        </w:rPr>
        <w:t>表</w:t>
      </w:r>
      <w:r w:rsidRPr="001E4F95">
        <w:rPr>
          <w:rFonts w:cs="Times New Roman"/>
          <w:b/>
          <w:color w:val="000000" w:themeColor="text1"/>
          <w:sz w:val="21"/>
        </w:rPr>
        <w:t>3-2  SportRatio</w:t>
      </w:r>
      <w:r w:rsidRPr="001E4F95">
        <w:rPr>
          <w:rFonts w:cs="Times New Roman"/>
          <w:b/>
          <w:color w:val="000000" w:themeColor="text1"/>
          <w:sz w:val="21"/>
        </w:rPr>
        <w:t>特征定义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948"/>
        <w:gridCol w:w="1247"/>
        <w:gridCol w:w="2268"/>
      </w:tblGrid>
      <w:tr w:rsidR="00C46165" w:rsidRPr="001E4F95" w14:paraId="0EE062BB" w14:textId="77777777">
        <w:trPr>
          <w:jc w:val="center"/>
        </w:trPr>
        <w:tc>
          <w:tcPr>
            <w:tcW w:w="170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DE746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特征</w:t>
            </w:r>
          </w:p>
        </w:tc>
        <w:tc>
          <w:tcPr>
            <w:tcW w:w="2948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E2C03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计算口径</w:t>
            </w:r>
          </w:p>
        </w:tc>
        <w:tc>
          <w:tcPr>
            <w:tcW w:w="1247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B6926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组合权重</w:t>
            </w:r>
          </w:p>
        </w:tc>
        <w:tc>
          <w:tcPr>
            <w:tcW w:w="2268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DAC87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证据含义</w:t>
            </w:r>
          </w:p>
        </w:tc>
      </w:tr>
      <w:tr w:rsidR="00C46165" w:rsidRPr="001E4F95" w14:paraId="33330FDD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84F70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 xml:space="preserve">W1 </w:t>
            </w:r>
            <w:r w:rsidRPr="001E4F95">
              <w:rPr>
                <w:rFonts w:cs="Times New Roman"/>
                <w:color w:val="000000" w:themeColor="text1"/>
                <w:sz w:val="19"/>
              </w:rPr>
              <w:t>业务范围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C5BA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体育业务线数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/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业务线总数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65A31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0.40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F49E7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经营范围中的体育内容覆盖</w:t>
            </w:r>
          </w:p>
        </w:tc>
      </w:tr>
      <w:tr w:rsidR="00C46165" w:rsidRPr="001E4F95" w14:paraId="60E711BF" w14:textId="77777777">
        <w:trPr>
          <w:jc w:val="center"/>
        </w:trPr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46F2C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 xml:space="preserve">W2 </w:t>
            </w:r>
            <w:r w:rsidRPr="001E4F95">
              <w:rPr>
                <w:rFonts w:cs="Times New Roman"/>
                <w:color w:val="000000" w:themeColor="text1"/>
                <w:sz w:val="19"/>
              </w:rPr>
              <w:t>关键词密度</w:t>
            </w:r>
          </w:p>
        </w:tc>
        <w:tc>
          <w:tcPr>
            <w:tcW w:w="294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9B55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min(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体育词命中数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/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分词数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×10, 1)</w:t>
            </w:r>
          </w:p>
        </w:tc>
        <w:tc>
          <w:tcPr>
            <w:tcW w:w="124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D9F18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0.25</w:t>
            </w:r>
          </w:p>
        </w:tc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D3E2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体育语义在文本中的集中程度</w:t>
            </w:r>
          </w:p>
        </w:tc>
      </w:tr>
      <w:tr w:rsidR="00C46165" w:rsidRPr="001E4F95" w14:paraId="0FCED071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0BE94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 xml:space="preserve">W3 </w:t>
            </w:r>
            <w:r w:rsidRPr="001E4F95">
              <w:rPr>
                <w:rFonts w:cs="Times New Roman"/>
                <w:color w:val="000000" w:themeColor="text1"/>
                <w:sz w:val="19"/>
              </w:rPr>
              <w:t>代码权重</w:t>
            </w:r>
          </w:p>
        </w:tc>
        <w:tc>
          <w:tcPr>
            <w:tcW w:w="2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C06B7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直接</w:t>
            </w:r>
            <w:r w:rsidRPr="001E4F95">
              <w:rPr>
                <w:rFonts w:cs="Times New Roman"/>
                <w:color w:val="000000" w:themeColor="text1"/>
                <w:sz w:val="19"/>
              </w:rPr>
              <w:t>0.85</w:t>
            </w:r>
            <w:r w:rsidRPr="001E4F95">
              <w:rPr>
                <w:rFonts w:cs="Times New Roman"/>
                <w:color w:val="000000" w:themeColor="text1"/>
                <w:sz w:val="19"/>
              </w:rPr>
              <w:t>；间接</w:t>
            </w:r>
            <w:r w:rsidRPr="001E4F95">
              <w:rPr>
                <w:rFonts w:cs="Times New Roman"/>
                <w:color w:val="000000" w:themeColor="text1"/>
                <w:sz w:val="19"/>
              </w:rPr>
              <w:t>0.30</w:t>
            </w:r>
            <w:r w:rsidRPr="001E4F95">
              <w:rPr>
                <w:rFonts w:cs="Times New Roman"/>
                <w:color w:val="000000" w:themeColor="text1"/>
                <w:sz w:val="19"/>
              </w:rPr>
              <w:t>；其他</w:t>
            </w:r>
            <w:r w:rsidRPr="001E4F95">
              <w:rPr>
                <w:rFonts w:cs="Times New Roman"/>
                <w:color w:val="000000" w:themeColor="text1"/>
                <w:sz w:val="19"/>
              </w:rPr>
              <w:t>0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A50E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0.25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D9CA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现行行业分类的结构先验</w:t>
            </w:r>
          </w:p>
        </w:tc>
      </w:tr>
      <w:tr w:rsidR="00C46165" w:rsidRPr="001E4F95" w14:paraId="13688231" w14:textId="77777777">
        <w:trPr>
          <w:jc w:val="center"/>
        </w:trPr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F2D83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 xml:space="preserve">W4 </w:t>
            </w:r>
            <w:r w:rsidRPr="001E4F95">
              <w:rPr>
                <w:rFonts w:cs="Times New Roman"/>
                <w:color w:val="000000" w:themeColor="text1"/>
                <w:sz w:val="19"/>
              </w:rPr>
              <w:t>业态覆盖</w:t>
            </w:r>
          </w:p>
        </w:tc>
        <w:tc>
          <w:tcPr>
            <w:tcW w:w="294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219F6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命中体育业态数</w:t>
            </w:r>
            <w:r w:rsidRPr="001E4F95">
              <w:rPr>
                <w:rFonts w:cs="Times New Roman"/>
                <w:color w:val="000000" w:themeColor="text1"/>
                <w:sz w:val="19"/>
              </w:rPr>
              <w:t>/9</w:t>
            </w:r>
          </w:p>
        </w:tc>
        <w:tc>
          <w:tcPr>
            <w:tcW w:w="124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C2D3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0.10</w:t>
            </w:r>
          </w:p>
        </w:tc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8EB2A8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体育经营内容的多样程度</w:t>
            </w:r>
          </w:p>
        </w:tc>
      </w:tr>
    </w:tbl>
    <w:p w14:paraId="2B575D41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6FE54F09" wp14:editId="4B160787">
            <wp:extent cx="5472000" cy="31196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portRatio测算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15D14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3-2  SportRatio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四维加权测算流程</w:t>
      </w:r>
    </w:p>
    <w:p w14:paraId="367CB9A2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sz w:val="18"/>
          <w:lang w:eastAsia="zh-CN"/>
        </w:rPr>
        <w:t>资料来源：本研究依据正式运行代码绘制；权重为人工设定规则权重。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C46165" w:rsidRPr="001E4F95" w14:paraId="5CE0A4BD" w14:textId="77777777">
        <w:trPr>
          <w:jc w:val="center"/>
        </w:trPr>
        <w:tc>
          <w:tcPr>
            <w:tcW w:w="8958" w:type="dxa"/>
            <w:tcBorders>
              <w:top w:val="single" w:sz="0" w:space="0" w:color="FFFFFF"/>
              <w:left w:val="single" w:sz="6" w:space="0" w:color="B58A56"/>
              <w:bottom w:val="single" w:sz="0" w:space="0" w:color="FFFFFF"/>
              <w:right w:val="single" w:sz="0" w:space="0" w:color="FFFFFF"/>
            </w:tcBorders>
            <w:shd w:val="clear" w:color="auto" w:fill="F4F7F8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69EA4EDF" w14:textId="77777777" w:rsidR="00C46165" w:rsidRPr="001E4F95" w:rsidRDefault="00000000">
            <w:pPr>
              <w:spacing w:line="324" w:lineRule="auto"/>
              <w:ind w:firstLine="0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b/>
                <w:color w:val="000000" w:themeColor="text1"/>
                <w:sz w:val="22"/>
                <w:lang w:eastAsia="zh-CN"/>
              </w:rPr>
              <w:t>解释边界｜</w:t>
            </w:r>
            <w:r w:rsidRPr="001E4F95">
              <w:rPr>
                <w:rFonts w:cs="Times New Roman"/>
                <w:color w:val="000000" w:themeColor="text1"/>
                <w:sz w:val="22"/>
                <w:lang w:eastAsia="zh-CN"/>
              </w:rPr>
              <w:t>SportRatio</w:t>
            </w:r>
            <w:r w:rsidRPr="001E4F95">
              <w:rPr>
                <w:rFonts w:cs="Times New Roman"/>
                <w:color w:val="000000" w:themeColor="text1"/>
                <w:sz w:val="22"/>
                <w:lang w:eastAsia="zh-CN"/>
              </w:rPr>
              <w:t>只在当前规则、词典和数据字段下具有相对比较意义。若取得企业分业务营收，应优先以真实营收占比校准或替代该代理值。</w:t>
            </w:r>
          </w:p>
        </w:tc>
      </w:tr>
    </w:tbl>
    <w:p w14:paraId="311CDDCC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15" w:name="_Toc236510153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3.4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相对产出指数与汇总指标</w:t>
      </w:r>
      <w:bookmarkEnd w:id="15"/>
    </w:p>
    <w:p w14:paraId="3B75AD9B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对每家体育相关企业，将</w:t>
      </w:r>
      <w:r w:rsidRPr="001E4F95">
        <w:rPr>
          <w:rFonts w:cs="Times New Roman"/>
          <w:color w:val="000000" w:themeColor="text1"/>
          <w:lang w:eastAsia="zh-CN"/>
        </w:rPr>
        <w:t>SportRatio</w:t>
      </w:r>
      <w:r w:rsidRPr="001E4F95">
        <w:rPr>
          <w:rFonts w:cs="Times New Roman"/>
          <w:color w:val="000000" w:themeColor="text1"/>
          <w:lang w:eastAsia="zh-CN"/>
        </w:rPr>
        <w:t>乘以</w:t>
      </w:r>
      <w:r w:rsidRPr="001E4F95">
        <w:rPr>
          <w:rFonts w:cs="Times New Roman"/>
          <w:color w:val="000000" w:themeColor="text1"/>
          <w:lang w:eastAsia="zh-CN"/>
        </w:rPr>
        <w:t>100</w:t>
      </w:r>
      <w:r w:rsidRPr="001E4F95">
        <w:rPr>
          <w:rFonts w:cs="Times New Roman"/>
          <w:color w:val="000000" w:themeColor="text1"/>
          <w:lang w:eastAsia="zh-CN"/>
        </w:rPr>
        <w:t>得到企业相对产出指数，再按业态或区域求和。总指数</w:t>
      </w:r>
      <w:r w:rsidRPr="001E4F95">
        <w:rPr>
          <w:rFonts w:cs="Times New Roman"/>
          <w:color w:val="000000" w:themeColor="text1"/>
          <w:lang w:eastAsia="zh-CN"/>
        </w:rPr>
        <w:t>579,124.95</w:t>
      </w:r>
      <w:r w:rsidRPr="001E4F95">
        <w:rPr>
          <w:rFonts w:cs="Times New Roman"/>
          <w:color w:val="000000" w:themeColor="text1"/>
          <w:lang w:eastAsia="zh-CN"/>
        </w:rPr>
        <w:t>等于所有体育企业</w:t>
      </w:r>
      <w:r w:rsidRPr="001E4F95">
        <w:rPr>
          <w:rFonts w:cs="Times New Roman"/>
          <w:color w:val="000000" w:themeColor="text1"/>
          <w:lang w:eastAsia="zh-CN"/>
        </w:rPr>
        <w:t>SportRatio</w:t>
      </w:r>
      <w:r w:rsidRPr="001E4F95">
        <w:rPr>
          <w:rFonts w:cs="Times New Roman"/>
          <w:color w:val="000000" w:themeColor="text1"/>
          <w:lang w:eastAsia="zh-CN"/>
        </w:rPr>
        <w:t>之和乘以</w:t>
      </w:r>
      <w:r w:rsidRPr="001E4F95">
        <w:rPr>
          <w:rFonts w:cs="Times New Roman"/>
          <w:color w:val="000000" w:themeColor="text1"/>
          <w:lang w:eastAsia="zh-CN"/>
        </w:rPr>
        <w:t>100</w:t>
      </w:r>
      <w:r w:rsidRPr="001E4F95">
        <w:rPr>
          <w:rFonts w:cs="Times New Roman"/>
          <w:color w:val="000000" w:themeColor="text1"/>
          <w:lang w:eastAsia="zh-CN"/>
        </w:rPr>
        <w:t>。由于每家企业的基准规模均被规范化为</w:t>
      </w:r>
      <w:r w:rsidRPr="001E4F95">
        <w:rPr>
          <w:rFonts w:cs="Times New Roman"/>
          <w:color w:val="000000" w:themeColor="text1"/>
          <w:lang w:eastAsia="zh-CN"/>
        </w:rPr>
        <w:t>100</w:t>
      </w:r>
      <w:r w:rsidRPr="001E4F95">
        <w:rPr>
          <w:rFonts w:cs="Times New Roman"/>
          <w:color w:val="000000" w:themeColor="text1"/>
          <w:lang w:eastAsia="zh-CN"/>
        </w:rPr>
        <w:t>，该指数没有货币单位，不能据此推导产业产值。</w:t>
      </w:r>
    </w:p>
    <w:p w14:paraId="2C91ECA0" w14:textId="77777777" w:rsidR="00C46165" w:rsidRPr="001E4F95" w:rsidRDefault="00000000">
      <w:pPr>
        <w:spacing w:before="120" w:after="12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b/>
          <w:color w:val="000000" w:themeColor="text1"/>
        </w:rPr>
        <w:t>企业相对产出指数</w:t>
      </w:r>
      <w:r w:rsidRPr="001E4F95">
        <w:rPr>
          <w:rFonts w:cs="Times New Roman"/>
          <w:b/>
          <w:color w:val="000000" w:themeColor="text1"/>
        </w:rPr>
        <w:t>_i = SportRatio_i × 100</w:t>
      </w:r>
    </w:p>
    <w:p w14:paraId="752F7D61" w14:textId="77777777" w:rsidR="00C46165" w:rsidRPr="001E4F95" w:rsidRDefault="00000000">
      <w:pPr>
        <w:spacing w:before="120" w:after="12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b/>
          <w:color w:val="000000" w:themeColor="text1"/>
        </w:rPr>
        <w:t>分组相对产出指数</w:t>
      </w:r>
      <w:r w:rsidRPr="001E4F95">
        <w:rPr>
          <w:rFonts w:cs="Times New Roman"/>
          <w:b/>
          <w:color w:val="000000" w:themeColor="text1"/>
        </w:rPr>
        <w:t>_g = Σ(</w:t>
      </w:r>
      <w:r w:rsidRPr="001E4F95">
        <w:rPr>
          <w:rFonts w:cs="Times New Roman"/>
          <w:b/>
          <w:color w:val="000000" w:themeColor="text1"/>
        </w:rPr>
        <w:t>企业相对产出指数</w:t>
      </w:r>
      <w:r w:rsidRPr="001E4F95">
        <w:rPr>
          <w:rFonts w:cs="Times New Roman"/>
          <w:b/>
          <w:color w:val="000000" w:themeColor="text1"/>
        </w:rPr>
        <w:t>_i)</w:t>
      </w:r>
      <w:r w:rsidRPr="001E4F95">
        <w:rPr>
          <w:rFonts w:cs="Times New Roman"/>
          <w:b/>
          <w:color w:val="000000" w:themeColor="text1"/>
        </w:rPr>
        <w:t>，</w:t>
      </w:r>
      <w:r w:rsidRPr="001E4F95">
        <w:rPr>
          <w:rFonts w:cs="Times New Roman"/>
          <w:b/>
          <w:color w:val="000000" w:themeColor="text1"/>
        </w:rPr>
        <w:t>i∈g</w:t>
      </w:r>
    </w:p>
    <w:p w14:paraId="39E9E87A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</w:rPr>
        <w:t>CR3</w:t>
      </w:r>
      <w:r w:rsidRPr="001E4F95">
        <w:rPr>
          <w:rFonts w:cs="Times New Roman"/>
          <w:color w:val="000000" w:themeColor="text1"/>
        </w:rPr>
        <w:t>、</w:t>
      </w:r>
      <w:r w:rsidRPr="001E4F95">
        <w:rPr>
          <w:rFonts w:cs="Times New Roman"/>
          <w:color w:val="000000" w:themeColor="text1"/>
        </w:rPr>
        <w:t>CR5</w:t>
      </w:r>
      <w:r w:rsidRPr="001E4F95">
        <w:rPr>
          <w:rFonts w:cs="Times New Roman"/>
          <w:color w:val="000000" w:themeColor="text1"/>
        </w:rPr>
        <w:t>、</w:t>
      </w:r>
      <w:r w:rsidRPr="001E4F95">
        <w:rPr>
          <w:rFonts w:cs="Times New Roman"/>
          <w:color w:val="000000" w:themeColor="text1"/>
        </w:rPr>
        <w:t>HHI</w:t>
      </w:r>
      <w:r w:rsidRPr="001E4F95">
        <w:rPr>
          <w:rFonts w:cs="Times New Roman"/>
          <w:color w:val="000000" w:themeColor="text1"/>
        </w:rPr>
        <w:t>和</w:t>
      </w:r>
      <w:r w:rsidRPr="001E4F95">
        <w:rPr>
          <w:rFonts w:cs="Times New Roman"/>
          <w:color w:val="000000" w:themeColor="text1"/>
        </w:rPr>
        <w:t>Gini</w:t>
      </w:r>
      <w:r w:rsidRPr="001E4F95">
        <w:rPr>
          <w:rFonts w:cs="Times New Roman"/>
          <w:color w:val="000000" w:themeColor="text1"/>
        </w:rPr>
        <w:t>用于描述相对指数在区域间的集中程度。</w:t>
      </w:r>
      <w:r w:rsidRPr="001E4F95">
        <w:rPr>
          <w:rFonts w:cs="Times New Roman"/>
          <w:color w:val="000000" w:themeColor="text1"/>
          <w:lang w:eastAsia="zh-CN"/>
        </w:rPr>
        <w:t>它们是当前名称抽取口径下的结构指标，不能直接替代基于注册地址和真实增加值计算的区域产业集中度。</w:t>
      </w:r>
    </w:p>
    <w:p w14:paraId="5D885C12" w14:textId="77777777" w:rsidR="00C46165" w:rsidRPr="001E4F95" w:rsidRDefault="00000000">
      <w:pPr>
        <w:pStyle w:val="1"/>
        <w:rPr>
          <w:color w:val="000000" w:themeColor="text1"/>
          <w:lang w:eastAsia="zh-CN"/>
        </w:rPr>
      </w:pPr>
      <w:bookmarkStart w:id="16" w:name="_Toc236510154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第四章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可复现验证与证据审计</w:t>
      </w:r>
      <w:bookmarkEnd w:id="16"/>
    </w:p>
    <w:p w14:paraId="534110E1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17" w:name="_Toc236510155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4.1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验证原则</w:t>
      </w:r>
      <w:bookmarkEnd w:id="17"/>
    </w:p>
    <w:p w14:paraId="023168A0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本研究采用</w:t>
      </w:r>
      <w:r w:rsidRPr="001E4F95">
        <w:rPr>
          <w:rFonts w:cs="Times New Roman"/>
          <w:color w:val="000000" w:themeColor="text1"/>
          <w:lang w:eastAsia="zh-CN"/>
        </w:rPr>
        <w:t>“</w:t>
      </w:r>
      <w:r w:rsidRPr="001E4F95">
        <w:rPr>
          <w:rFonts w:cs="Times New Roman"/>
          <w:color w:val="000000" w:themeColor="text1"/>
          <w:lang w:eastAsia="zh-CN"/>
        </w:rPr>
        <w:t>复算优先、交叉核对、无证据降级</w:t>
      </w:r>
      <w:r w:rsidRPr="001E4F95">
        <w:rPr>
          <w:rFonts w:cs="Times New Roman"/>
          <w:color w:val="000000" w:themeColor="text1"/>
          <w:lang w:eastAsia="zh-CN"/>
        </w:rPr>
        <w:t>”</w:t>
      </w:r>
      <w:r w:rsidRPr="001E4F95">
        <w:rPr>
          <w:rFonts w:cs="Times New Roman"/>
          <w:color w:val="000000" w:themeColor="text1"/>
          <w:lang w:eastAsia="zh-CN"/>
        </w:rPr>
        <w:t>的验证原则。</w:t>
      </w:r>
      <w:r w:rsidRPr="001E4F95">
        <w:rPr>
          <w:rFonts w:cs="Times New Roman"/>
          <w:color w:val="000000" w:themeColor="text1"/>
          <w:lang w:eastAsia="zh-CN"/>
        </w:rPr>
        <w:t>A</w:t>
      </w:r>
      <w:r w:rsidRPr="001E4F95">
        <w:rPr>
          <w:rFonts w:cs="Times New Roman"/>
          <w:color w:val="000000" w:themeColor="text1"/>
          <w:lang w:eastAsia="zh-CN"/>
        </w:rPr>
        <w:t>类证据来自原始数据直接统计，</w:t>
      </w:r>
      <w:r w:rsidRPr="001E4F95">
        <w:rPr>
          <w:rFonts w:cs="Times New Roman"/>
          <w:color w:val="000000" w:themeColor="text1"/>
          <w:lang w:eastAsia="zh-CN"/>
        </w:rPr>
        <w:t>B</w:t>
      </w:r>
      <w:r w:rsidRPr="001E4F95">
        <w:rPr>
          <w:rFonts w:cs="Times New Roman"/>
          <w:color w:val="000000" w:themeColor="text1"/>
          <w:lang w:eastAsia="zh-CN"/>
        </w:rPr>
        <w:t>类证据来自处理后明细或运行代码输出，</w:t>
      </w:r>
      <w:r w:rsidRPr="001E4F95">
        <w:rPr>
          <w:rFonts w:cs="Times New Roman"/>
          <w:color w:val="000000" w:themeColor="text1"/>
          <w:lang w:eastAsia="zh-CN"/>
        </w:rPr>
        <w:t>C</w:t>
      </w:r>
      <w:r w:rsidRPr="001E4F95">
        <w:rPr>
          <w:rFonts w:cs="Times New Roman"/>
          <w:color w:val="000000" w:themeColor="text1"/>
          <w:lang w:eastAsia="zh-CN"/>
        </w:rPr>
        <w:t>类证据来自可核验的政府标准与原始文献，</w:t>
      </w:r>
      <w:r w:rsidRPr="001E4F95">
        <w:rPr>
          <w:rFonts w:cs="Times New Roman"/>
          <w:color w:val="000000" w:themeColor="text1"/>
          <w:lang w:eastAsia="zh-CN"/>
        </w:rPr>
        <w:t>D</w:t>
      </w:r>
      <w:r w:rsidRPr="001E4F95">
        <w:rPr>
          <w:rFonts w:cs="Times New Roman"/>
          <w:color w:val="000000" w:themeColor="text1"/>
          <w:lang w:eastAsia="zh-CN"/>
        </w:rPr>
        <w:t>类为来源不明、批次冲突或无法复算的数字。</w:t>
      </w:r>
      <w:r w:rsidRPr="001E4F95">
        <w:rPr>
          <w:rFonts w:cs="Times New Roman"/>
          <w:color w:val="000000" w:themeColor="text1"/>
          <w:lang w:eastAsia="zh-CN"/>
        </w:rPr>
        <w:t>A—C</w:t>
      </w:r>
      <w:r w:rsidRPr="001E4F95">
        <w:rPr>
          <w:rFonts w:cs="Times New Roman"/>
          <w:color w:val="000000" w:themeColor="text1"/>
          <w:lang w:eastAsia="zh-CN"/>
        </w:rPr>
        <w:t>类可进入结论，</w:t>
      </w:r>
      <w:r w:rsidRPr="001E4F95">
        <w:rPr>
          <w:rFonts w:cs="Times New Roman"/>
          <w:color w:val="000000" w:themeColor="text1"/>
          <w:lang w:eastAsia="zh-CN"/>
        </w:rPr>
        <w:t>D</w:t>
      </w:r>
      <w:r w:rsidRPr="001E4F95">
        <w:rPr>
          <w:rFonts w:cs="Times New Roman"/>
          <w:color w:val="000000" w:themeColor="text1"/>
          <w:lang w:eastAsia="zh-CN"/>
        </w:rPr>
        <w:t>类必须删除、重算或明确降级。</w:t>
      </w:r>
    </w:p>
    <w:p w14:paraId="3C877048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drawing>
          <wp:inline distT="0" distB="0" distL="0" distR="0" wp14:anchorId="272BAF2B" wp14:editId="51EBD864">
            <wp:extent cx="5472000" cy="31196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证据分级与处理规则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4FCE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4-1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数字证据分级与处理规则</w:t>
      </w:r>
    </w:p>
    <w:p w14:paraId="08614D8F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sz w:val="18"/>
          <w:lang w:eastAsia="zh-CN"/>
        </w:rPr>
        <w:t>资料来源：本研究数据审计规则。图中</w:t>
      </w:r>
      <w:r w:rsidRPr="001E4F95">
        <w:rPr>
          <w:rFonts w:cs="Times New Roman"/>
          <w:color w:val="000000" w:themeColor="text1"/>
          <w:sz w:val="18"/>
          <w:lang w:eastAsia="zh-CN"/>
        </w:rPr>
        <w:t>D</w:t>
      </w:r>
      <w:r w:rsidRPr="001E4F95">
        <w:rPr>
          <w:rFonts w:cs="Times New Roman"/>
          <w:color w:val="000000" w:themeColor="text1"/>
          <w:sz w:val="18"/>
          <w:lang w:eastAsia="zh-CN"/>
        </w:rPr>
        <w:t>级数字仅为被删除的旧稿示例，不构成本研究结果。</w:t>
      </w:r>
    </w:p>
    <w:p w14:paraId="17E91183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18" w:name="_Toc236510156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4.2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正式批次与口径锁定</w:t>
      </w:r>
      <w:bookmarkEnd w:id="18"/>
    </w:p>
    <w:p w14:paraId="635188A8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正式结果来自批次</w:t>
      </w:r>
      <w:r w:rsidRPr="001E4F95">
        <w:rPr>
          <w:rFonts w:cs="Times New Roman"/>
          <w:color w:val="000000" w:themeColor="text1"/>
          <w:lang w:eastAsia="zh-CN"/>
        </w:rPr>
        <w:t>20260801_203307</w:t>
      </w:r>
      <w:r w:rsidRPr="001E4F95">
        <w:rPr>
          <w:rFonts w:cs="Times New Roman"/>
          <w:color w:val="000000" w:themeColor="text1"/>
          <w:lang w:eastAsia="zh-CN"/>
        </w:rPr>
        <w:t>。识别脚本在</w:t>
      </w:r>
      <w:r w:rsidRPr="001E4F95">
        <w:rPr>
          <w:rFonts w:cs="Times New Roman"/>
          <w:color w:val="000000" w:themeColor="text1"/>
          <w:lang w:eastAsia="zh-CN"/>
        </w:rPr>
        <w:t>76,687</w:t>
      </w:r>
      <w:r w:rsidRPr="001E4F95">
        <w:rPr>
          <w:rFonts w:cs="Times New Roman"/>
          <w:color w:val="000000" w:themeColor="text1"/>
          <w:lang w:eastAsia="zh-CN"/>
        </w:rPr>
        <w:t>条全量处理数据上重新运行，随后由分析脚本生成业态、区域和集中度结果。审计程序再对总数、分组加总和文件哈希执行自动检查；业态企业数加总为</w:t>
      </w:r>
      <w:r w:rsidRPr="001E4F95">
        <w:rPr>
          <w:rFonts w:cs="Times New Roman"/>
          <w:color w:val="000000" w:themeColor="text1"/>
          <w:lang w:eastAsia="zh-CN"/>
        </w:rPr>
        <w:t>8,950</w:t>
      </w:r>
      <w:r w:rsidRPr="001E4F95">
        <w:rPr>
          <w:rFonts w:cs="Times New Roman"/>
          <w:color w:val="000000" w:themeColor="text1"/>
          <w:lang w:eastAsia="zh-CN"/>
        </w:rPr>
        <w:t>，业态相对产出指数加总为</w:t>
      </w:r>
      <w:r w:rsidRPr="001E4F95">
        <w:rPr>
          <w:rFonts w:cs="Times New Roman"/>
          <w:color w:val="000000" w:themeColor="text1"/>
          <w:lang w:eastAsia="zh-CN"/>
        </w:rPr>
        <w:t>579,124.95</w:t>
      </w:r>
      <w:r w:rsidRPr="001E4F95">
        <w:rPr>
          <w:rFonts w:cs="Times New Roman"/>
          <w:color w:val="000000" w:themeColor="text1"/>
          <w:lang w:eastAsia="zh-CN"/>
        </w:rPr>
        <w:t>，均与总览一致。</w:t>
      </w:r>
    </w:p>
    <w:p w14:paraId="49F48C77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b/>
          <w:color w:val="000000" w:themeColor="text1"/>
          <w:sz w:val="21"/>
        </w:rPr>
        <w:t>表</w:t>
      </w:r>
      <w:r w:rsidRPr="001E4F95">
        <w:rPr>
          <w:rFonts w:cs="Times New Roman"/>
          <w:b/>
          <w:color w:val="000000" w:themeColor="text1"/>
          <w:sz w:val="21"/>
        </w:rPr>
        <w:t xml:space="preserve">4-1  </w:t>
      </w:r>
      <w:r w:rsidRPr="001E4F95">
        <w:rPr>
          <w:rFonts w:cs="Times New Roman"/>
          <w:b/>
          <w:color w:val="000000" w:themeColor="text1"/>
          <w:sz w:val="21"/>
        </w:rPr>
        <w:t>旧稿冲突与修订决策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268"/>
        <w:gridCol w:w="3855"/>
      </w:tblGrid>
      <w:tr w:rsidR="00C46165" w:rsidRPr="001E4F95" w14:paraId="470ADA82" w14:textId="77777777">
        <w:trPr>
          <w:jc w:val="center"/>
        </w:trPr>
        <w:tc>
          <w:tcPr>
            <w:tcW w:w="1928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D9F9A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冲突事项</w:t>
            </w:r>
          </w:p>
        </w:tc>
        <w:tc>
          <w:tcPr>
            <w:tcW w:w="2268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09FC7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统一口径</w:t>
            </w:r>
          </w:p>
        </w:tc>
        <w:tc>
          <w:tcPr>
            <w:tcW w:w="3855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E5E0D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修订理由</w:t>
            </w:r>
          </w:p>
        </w:tc>
      </w:tr>
      <w:tr w:rsidR="00C46165" w:rsidRPr="001E4F95" w14:paraId="522E38D0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D9980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lastRenderedPageBreak/>
              <w:t>体育企业总数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68909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8,950</w:t>
            </w:r>
            <w:r w:rsidRPr="001E4F95">
              <w:rPr>
                <w:rFonts w:cs="Times New Roman"/>
                <w:color w:val="000000" w:themeColor="text1"/>
                <w:sz w:val="19"/>
              </w:rPr>
              <w:t>家</w:t>
            </w:r>
          </w:p>
        </w:tc>
        <w:tc>
          <w:tcPr>
            <w:tcW w:w="3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E3E75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9,023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家属于预处理初筛文件，正式全量识别结果为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8,950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家</w:t>
            </w:r>
          </w:p>
        </w:tc>
      </w:tr>
      <w:tr w:rsidR="00C46165" w:rsidRPr="001E4F95" w14:paraId="102AABF6" w14:textId="77777777">
        <w:trPr>
          <w:jc w:val="center"/>
        </w:trPr>
        <w:tc>
          <w:tcPr>
            <w:tcW w:w="192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65F59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增量企业数</w:t>
            </w:r>
          </w:p>
        </w:tc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4C6B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934</w:t>
            </w:r>
            <w:r w:rsidRPr="001E4F95">
              <w:rPr>
                <w:rFonts w:cs="Times New Roman"/>
                <w:color w:val="000000" w:themeColor="text1"/>
                <w:sz w:val="19"/>
              </w:rPr>
              <w:t>家</w:t>
            </w:r>
          </w:p>
        </w:tc>
        <w:tc>
          <w:tcPr>
            <w:tcW w:w="385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08AEE7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100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仅为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JSON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中截断案例列表长度，不是总体增量</w:t>
            </w:r>
          </w:p>
        </w:tc>
      </w:tr>
      <w:tr w:rsidR="00C46165" w:rsidRPr="001E4F95" w14:paraId="2941073A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3C040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11.7%</w:t>
            </w:r>
            <w:r w:rsidRPr="001E4F95">
              <w:rPr>
                <w:rFonts w:cs="Times New Roman"/>
                <w:color w:val="000000" w:themeColor="text1"/>
                <w:sz w:val="19"/>
              </w:rPr>
              <w:t>的含义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346D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识别数量相对增加</w:t>
            </w:r>
            <w:r w:rsidRPr="001E4F95">
              <w:rPr>
                <w:rFonts w:cs="Times New Roman"/>
                <w:color w:val="000000" w:themeColor="text1"/>
                <w:sz w:val="19"/>
              </w:rPr>
              <w:t>11.65%</w:t>
            </w:r>
          </w:p>
        </w:tc>
        <w:tc>
          <w:tcPr>
            <w:tcW w:w="3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0AB85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没有人工金标准，不能写为准确率提升</w:t>
            </w:r>
          </w:p>
        </w:tc>
      </w:tr>
      <w:tr w:rsidR="00C46165" w:rsidRPr="001E4F95" w14:paraId="3C86807D" w14:textId="77777777">
        <w:trPr>
          <w:jc w:val="center"/>
        </w:trPr>
        <w:tc>
          <w:tcPr>
            <w:tcW w:w="192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BF03ED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监督评估指标</w:t>
            </w:r>
          </w:p>
        </w:tc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67C5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不报告</w:t>
            </w:r>
          </w:p>
        </w:tc>
        <w:tc>
          <w:tcPr>
            <w:tcW w:w="385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D800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缺少逐条人工标签、预测分数和标注者记录</w:t>
            </w:r>
          </w:p>
        </w:tc>
      </w:tr>
      <w:tr w:rsidR="00C46165" w:rsidRPr="001E4F95" w14:paraId="5E2DC30C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C085D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579,124.95</w:t>
            </w:r>
            <w:r w:rsidRPr="001E4F95">
              <w:rPr>
                <w:rFonts w:cs="Times New Roman"/>
                <w:color w:val="000000" w:themeColor="text1"/>
                <w:sz w:val="19"/>
              </w:rPr>
              <w:t>的含义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9A02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相对产出指数</w:t>
            </w:r>
          </w:p>
        </w:tc>
        <w:tc>
          <w:tcPr>
            <w:tcW w:w="385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E256EE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是</w:t>
            </w:r>
            <w:r w:rsidRPr="001E4F95">
              <w:rPr>
                <w:rFonts w:cs="Times New Roman"/>
                <w:color w:val="000000" w:themeColor="text1"/>
                <w:sz w:val="19"/>
              </w:rPr>
              <w:t>SportRatio×100</w:t>
            </w:r>
            <w:r w:rsidRPr="001E4F95">
              <w:rPr>
                <w:rFonts w:cs="Times New Roman"/>
                <w:color w:val="000000" w:themeColor="text1"/>
                <w:sz w:val="19"/>
              </w:rPr>
              <w:t>后的汇总，不是货币金额</w:t>
            </w:r>
          </w:p>
        </w:tc>
      </w:tr>
      <w:tr w:rsidR="00C46165" w:rsidRPr="001E4F95" w14:paraId="57455440" w14:textId="77777777">
        <w:trPr>
          <w:jc w:val="center"/>
        </w:trPr>
        <w:tc>
          <w:tcPr>
            <w:tcW w:w="192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0945B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趋势与经济效益</w:t>
            </w:r>
          </w:p>
        </w:tc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8173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降为待验证场景</w:t>
            </w:r>
          </w:p>
        </w:tc>
        <w:tc>
          <w:tcPr>
            <w:tcW w:w="385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0512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缺少多期数据、成本台账与对照试验</w:t>
            </w:r>
          </w:p>
        </w:tc>
      </w:tr>
    </w:tbl>
    <w:p w14:paraId="19BDFF5B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19" w:name="_Toc236510157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4.3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基线比较的有效解释</w:t>
      </w:r>
      <w:bookmarkEnd w:id="19"/>
    </w:p>
    <w:p w14:paraId="28FA1350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传统直接行业代码法</w:t>
      </w:r>
      <w:r w:rsidRPr="001E4F95">
        <w:rPr>
          <w:rFonts w:cs="Times New Roman"/>
          <w:color w:val="000000" w:themeColor="text1"/>
          <w:lang w:eastAsia="zh-CN"/>
        </w:rPr>
        <w:t>与融合识别法在同一全量样本上比较，能够回答识别范围是否扩展，却不能回答新增企业中有多少为真实阳性。换言之，</w:t>
      </w:r>
      <w:r w:rsidRPr="001E4F95">
        <w:rPr>
          <w:rFonts w:cs="Times New Roman"/>
          <w:color w:val="000000" w:themeColor="text1"/>
          <w:lang w:eastAsia="zh-CN"/>
        </w:rPr>
        <w:t>934</w:t>
      </w:r>
      <w:r w:rsidRPr="001E4F95">
        <w:rPr>
          <w:rFonts w:cs="Times New Roman"/>
          <w:color w:val="000000" w:themeColor="text1"/>
          <w:lang w:eastAsia="zh-CN"/>
        </w:rPr>
        <w:t>家是规则意义上的增量发现，不是经人工核验的漏检纠正数。只有建立分层抽样金标准后，才可报告准确率、精确率、召回率、</w:t>
      </w:r>
      <w:r w:rsidRPr="001E4F95">
        <w:rPr>
          <w:rFonts w:cs="Times New Roman"/>
          <w:color w:val="000000" w:themeColor="text1"/>
          <w:lang w:eastAsia="zh-CN"/>
        </w:rPr>
        <w:t>F1</w:t>
      </w:r>
      <w:r w:rsidRPr="001E4F95">
        <w:rPr>
          <w:rFonts w:cs="Times New Roman"/>
          <w:color w:val="000000" w:themeColor="text1"/>
          <w:lang w:eastAsia="zh-CN"/>
        </w:rPr>
        <w:t>等指标。</w:t>
      </w:r>
    </w:p>
    <w:p w14:paraId="1CC3A1F5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当前验证包括四类内部一致性检查：原始行数与处理后行数一致；业态分组与总量一致；传统法与融合法使用同一分母；图表、表格和摘要绑定同一审计</w:t>
      </w:r>
      <w:r w:rsidRPr="001E4F95">
        <w:rPr>
          <w:rFonts w:cs="Times New Roman"/>
          <w:color w:val="000000" w:themeColor="text1"/>
          <w:lang w:eastAsia="zh-CN"/>
        </w:rPr>
        <w:t>JSON</w:t>
      </w:r>
      <w:r w:rsidRPr="001E4F95">
        <w:rPr>
          <w:rFonts w:cs="Times New Roman"/>
          <w:color w:val="000000" w:themeColor="text1"/>
          <w:lang w:eastAsia="zh-CN"/>
        </w:rPr>
        <w:t>。这些检查保障结果可复算，但不替代外部效度检验。</w:t>
      </w:r>
    </w:p>
    <w:p w14:paraId="1828E8D5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20" w:name="_Toc236510158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4.4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可复现文件链</w:t>
      </w:r>
      <w:bookmarkEnd w:id="20"/>
    </w:p>
    <w:p w14:paraId="7478E906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表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4-2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关键证据文件与用途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2835"/>
        <w:gridCol w:w="1701"/>
      </w:tblGrid>
      <w:tr w:rsidR="00C46165" w:rsidRPr="001E4F95" w14:paraId="5B49B415" w14:textId="77777777">
        <w:trPr>
          <w:jc w:val="center"/>
        </w:trPr>
        <w:tc>
          <w:tcPr>
            <w:tcW w:w="3685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08D7A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文件</w:t>
            </w:r>
          </w:p>
        </w:tc>
        <w:tc>
          <w:tcPr>
            <w:tcW w:w="2835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07CBB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用途</w:t>
            </w:r>
          </w:p>
        </w:tc>
        <w:tc>
          <w:tcPr>
            <w:tcW w:w="170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DCBA0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SHA-256</w:t>
            </w:r>
            <w:r w:rsidRPr="001E4F95">
              <w:rPr>
                <w:rFonts w:cs="Times New Roman"/>
                <w:b/>
                <w:color w:val="000000" w:themeColor="text1"/>
                <w:sz w:val="19"/>
              </w:rPr>
              <w:t>前</w:t>
            </w:r>
            <w:r w:rsidRPr="001E4F95">
              <w:rPr>
                <w:rFonts w:cs="Times New Roman"/>
                <w:b/>
                <w:color w:val="000000" w:themeColor="text1"/>
                <w:sz w:val="19"/>
              </w:rPr>
              <w:t>16</w:t>
            </w:r>
            <w:r w:rsidRPr="001E4F95">
              <w:rPr>
                <w:rFonts w:cs="Times New Roman"/>
                <w:b/>
                <w:color w:val="000000" w:themeColor="text1"/>
                <w:sz w:val="19"/>
              </w:rPr>
              <w:t>位</w:t>
            </w:r>
          </w:p>
        </w:tc>
      </w:tr>
      <w:tr w:rsidR="00C46165" w:rsidRPr="001E4F95" w14:paraId="38E6D4A6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8E6651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企业原始数据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.xlsx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7FF5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原始</w:t>
            </w:r>
            <w:r w:rsidRPr="001E4F95">
              <w:rPr>
                <w:rFonts w:cs="Times New Roman"/>
                <w:color w:val="000000" w:themeColor="text1"/>
                <w:sz w:val="19"/>
              </w:rPr>
              <w:t>76,687</w:t>
            </w:r>
            <w:r w:rsidRPr="001E4F95">
              <w:rPr>
                <w:rFonts w:cs="Times New Roman"/>
                <w:color w:val="000000" w:themeColor="text1"/>
                <w:sz w:val="19"/>
              </w:rPr>
              <w:t>条企业登记记录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0BF5E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b6c46bdc21f3fc04</w:t>
            </w:r>
          </w:p>
        </w:tc>
      </w:tr>
      <w:tr w:rsidR="00C46165" w:rsidRPr="001E4F95" w14:paraId="4E3CA9BC" w14:textId="77777777">
        <w:trPr>
          <w:jc w:val="center"/>
        </w:trPr>
        <w:tc>
          <w:tcPr>
            <w:tcW w:w="368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8C3D8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enterprise_dataset_20260629_160902.csv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DD949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分词、关键词及代码类型处理结果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5989E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6826692cb013057c</w:t>
            </w:r>
          </w:p>
        </w:tc>
      </w:tr>
      <w:tr w:rsidR="00C46165" w:rsidRPr="001E4F95" w14:paraId="40AC8799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85DF4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sport_ratio_results_20260801_203307.csv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90626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正式全量识别与比重结果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7DB59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f473c87affbea561</w:t>
            </w:r>
          </w:p>
        </w:tc>
      </w:tr>
      <w:tr w:rsidR="00C46165" w:rsidRPr="001E4F95" w14:paraId="72A9E1CF" w14:textId="77777777">
        <w:trPr>
          <w:jc w:val="center"/>
        </w:trPr>
        <w:tc>
          <w:tcPr>
            <w:tcW w:w="368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ACA54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lastRenderedPageBreak/>
              <w:t>industry_analysis_20260801_203329.json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0D8E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业态、区域与集中度汇总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CD37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377f5635970d12e4</w:t>
            </w:r>
          </w:p>
        </w:tc>
      </w:tr>
      <w:tr w:rsidR="00C46165" w:rsidRPr="001E4F95" w14:paraId="117F1A56" w14:textId="77777777">
        <w:trPr>
          <w:jc w:val="center"/>
        </w:trPr>
        <w:tc>
          <w:tcPr>
            <w:tcW w:w="368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8B104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data_audit.json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BD92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正文统一口径与冲突决策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87240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由上述文件交叉生成</w:t>
            </w:r>
          </w:p>
        </w:tc>
      </w:tr>
    </w:tbl>
    <w:p w14:paraId="54220246" w14:textId="77777777" w:rsidR="00C46165" w:rsidRPr="001E4F95" w:rsidRDefault="00000000">
      <w:pPr>
        <w:pStyle w:val="1"/>
        <w:rPr>
          <w:color w:val="000000" w:themeColor="text1"/>
          <w:lang w:eastAsia="zh-CN"/>
        </w:rPr>
      </w:pPr>
      <w:bookmarkStart w:id="21" w:name="_Toc236510159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第五章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实证结果与结构分析</w:t>
      </w:r>
      <w:bookmarkEnd w:id="21"/>
    </w:p>
    <w:p w14:paraId="37BE17A3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22" w:name="_Toc236510160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5.1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识别范围变化</w:t>
      </w:r>
      <w:bookmarkEnd w:id="22"/>
    </w:p>
    <w:p w14:paraId="129DAAC0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传统直接行业代码法识别</w:t>
      </w:r>
      <w:r w:rsidRPr="001E4F95">
        <w:rPr>
          <w:rFonts w:cs="Times New Roman"/>
          <w:color w:val="000000" w:themeColor="text1"/>
          <w:lang w:eastAsia="zh-CN"/>
        </w:rPr>
        <w:t>8,016</w:t>
      </w:r>
      <w:r w:rsidRPr="001E4F95">
        <w:rPr>
          <w:rFonts w:cs="Times New Roman"/>
          <w:color w:val="000000" w:themeColor="text1"/>
          <w:lang w:eastAsia="zh-CN"/>
        </w:rPr>
        <w:t>家，融合识别法识别</w:t>
      </w:r>
      <w:r w:rsidRPr="001E4F95">
        <w:rPr>
          <w:rFonts w:cs="Times New Roman"/>
          <w:color w:val="000000" w:themeColor="text1"/>
          <w:lang w:eastAsia="zh-CN"/>
        </w:rPr>
        <w:t>8,950</w:t>
      </w:r>
      <w:r w:rsidRPr="001E4F95">
        <w:rPr>
          <w:rFonts w:cs="Times New Roman"/>
          <w:color w:val="000000" w:themeColor="text1"/>
          <w:lang w:eastAsia="zh-CN"/>
        </w:rPr>
        <w:t>家。两者分别占全样本的</w:t>
      </w:r>
      <w:r w:rsidRPr="001E4F95">
        <w:rPr>
          <w:rFonts w:cs="Times New Roman"/>
          <w:color w:val="000000" w:themeColor="text1"/>
          <w:lang w:eastAsia="zh-CN"/>
        </w:rPr>
        <w:t>10.45%</w:t>
      </w:r>
      <w:r w:rsidRPr="001E4F95">
        <w:rPr>
          <w:rFonts w:cs="Times New Roman"/>
          <w:color w:val="000000" w:themeColor="text1"/>
          <w:lang w:eastAsia="zh-CN"/>
        </w:rPr>
        <w:t>和</w:t>
      </w:r>
      <w:r w:rsidRPr="001E4F95">
        <w:rPr>
          <w:rFonts w:cs="Times New Roman"/>
          <w:color w:val="000000" w:themeColor="text1"/>
          <w:lang w:eastAsia="zh-CN"/>
        </w:rPr>
        <w:t>11.67%</w:t>
      </w:r>
      <w:r w:rsidRPr="001E4F95">
        <w:rPr>
          <w:rFonts w:cs="Times New Roman"/>
          <w:color w:val="000000" w:themeColor="text1"/>
          <w:lang w:eastAsia="zh-CN"/>
        </w:rPr>
        <w:t>，差额为</w:t>
      </w:r>
      <w:r w:rsidRPr="001E4F95">
        <w:rPr>
          <w:rFonts w:cs="Times New Roman"/>
          <w:color w:val="000000" w:themeColor="text1"/>
          <w:lang w:eastAsia="zh-CN"/>
        </w:rPr>
        <w:t>934</w:t>
      </w:r>
      <w:r w:rsidRPr="001E4F95">
        <w:rPr>
          <w:rFonts w:cs="Times New Roman"/>
          <w:color w:val="000000" w:themeColor="text1"/>
          <w:lang w:eastAsia="zh-CN"/>
        </w:rPr>
        <w:t>家，相当于传统识别数量的</w:t>
      </w:r>
      <w:r w:rsidRPr="001E4F95">
        <w:rPr>
          <w:rFonts w:cs="Times New Roman"/>
          <w:color w:val="000000" w:themeColor="text1"/>
          <w:lang w:eastAsia="zh-CN"/>
        </w:rPr>
        <w:t>11.65%</w:t>
      </w:r>
      <w:r w:rsidRPr="001E4F95">
        <w:rPr>
          <w:rFonts w:cs="Times New Roman"/>
          <w:color w:val="000000" w:themeColor="text1"/>
          <w:lang w:eastAsia="zh-CN"/>
        </w:rPr>
        <w:t>。这一结果说明文本字段能补充行业代码未呈现的经营内容。</w:t>
      </w:r>
    </w:p>
    <w:p w14:paraId="45AC35C2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表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5-1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两种识别方法的范围比较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701"/>
        <w:gridCol w:w="1701"/>
        <w:gridCol w:w="2381"/>
      </w:tblGrid>
      <w:tr w:rsidR="00C46165" w:rsidRPr="001E4F95" w14:paraId="2F904D88" w14:textId="77777777">
        <w:trPr>
          <w:jc w:val="center"/>
        </w:trPr>
        <w:tc>
          <w:tcPr>
            <w:tcW w:w="255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71B2E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方法</w:t>
            </w:r>
          </w:p>
        </w:tc>
        <w:tc>
          <w:tcPr>
            <w:tcW w:w="170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AAD66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识别企业数</w:t>
            </w:r>
          </w:p>
        </w:tc>
        <w:tc>
          <w:tcPr>
            <w:tcW w:w="170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AD4EE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占全样本</w:t>
            </w:r>
          </w:p>
        </w:tc>
        <w:tc>
          <w:tcPr>
            <w:tcW w:w="238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27951C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相对传统法</w:t>
            </w:r>
          </w:p>
        </w:tc>
      </w:tr>
      <w:tr w:rsidR="00C46165" w:rsidRPr="001E4F95" w14:paraId="5F4B422D" w14:textId="77777777">
        <w:trPr>
          <w:jc w:val="center"/>
        </w:trPr>
        <w:tc>
          <w:tcPr>
            <w:tcW w:w="25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B25A2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传统直接行业代码法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F9FC7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8,016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016CA9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10.45%</w:t>
            </w:r>
          </w:p>
        </w:tc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2614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基线</w:t>
            </w:r>
          </w:p>
        </w:tc>
      </w:tr>
      <w:tr w:rsidR="00C46165" w:rsidRPr="001E4F95" w14:paraId="0D575E9B" w14:textId="77777777">
        <w:trPr>
          <w:jc w:val="center"/>
        </w:trPr>
        <w:tc>
          <w:tcPr>
            <w:tcW w:w="255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6A092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文本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—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代码融合识别法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AF447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8,950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A2F9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11.67%</w:t>
            </w:r>
          </w:p>
        </w:tc>
        <w:tc>
          <w:tcPr>
            <w:tcW w:w="238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FBD8C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+934</w:t>
            </w:r>
            <w:r w:rsidRPr="001E4F95">
              <w:rPr>
                <w:rFonts w:cs="Times New Roman"/>
                <w:color w:val="000000" w:themeColor="text1"/>
                <w:sz w:val="19"/>
              </w:rPr>
              <w:t>家（</w:t>
            </w:r>
            <w:r w:rsidRPr="001E4F95">
              <w:rPr>
                <w:rFonts w:cs="Times New Roman"/>
                <w:color w:val="000000" w:themeColor="text1"/>
                <w:sz w:val="19"/>
              </w:rPr>
              <w:t>+11.65%</w:t>
            </w:r>
            <w:r w:rsidRPr="001E4F95">
              <w:rPr>
                <w:rFonts w:cs="Times New Roman"/>
                <w:color w:val="000000" w:themeColor="text1"/>
                <w:sz w:val="19"/>
              </w:rPr>
              <w:t>）</w:t>
            </w:r>
          </w:p>
        </w:tc>
      </w:tr>
    </w:tbl>
    <w:p w14:paraId="6BD5235E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drawing>
          <wp:inline distT="0" distB="0" distL="0" distR="0" wp14:anchorId="5FD95103" wp14:editId="2F05D461">
            <wp:extent cx="5472000" cy="31523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识别范围对比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5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BCCA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5-1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传统行业代码法与融合识别法的识别范围对比</w:t>
      </w:r>
    </w:p>
    <w:p w14:paraId="18E9841A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sz w:val="18"/>
          <w:lang w:eastAsia="zh-CN"/>
        </w:rPr>
        <w:t>资料来源：正式批次</w:t>
      </w:r>
      <w:r w:rsidRPr="001E4F95">
        <w:rPr>
          <w:rFonts w:cs="Times New Roman"/>
          <w:color w:val="000000" w:themeColor="text1"/>
          <w:sz w:val="18"/>
          <w:lang w:eastAsia="zh-CN"/>
        </w:rPr>
        <w:t>20260801_203307</w:t>
      </w:r>
      <w:r w:rsidRPr="001E4F95">
        <w:rPr>
          <w:rFonts w:cs="Times New Roman"/>
          <w:color w:val="000000" w:themeColor="text1"/>
          <w:sz w:val="18"/>
          <w:lang w:eastAsia="zh-CN"/>
        </w:rPr>
        <w:t>；本研究计算。</w:t>
      </w:r>
    </w:p>
    <w:p w14:paraId="517D9071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23" w:name="_Toc236510161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5.2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体育业务相对比重分布</w:t>
      </w:r>
      <w:bookmarkEnd w:id="23"/>
    </w:p>
    <w:p w14:paraId="591B2554" w14:textId="77777777" w:rsidR="00C46165" w:rsidRPr="001E4F95" w:rsidRDefault="00000000">
      <w:pPr>
        <w:spacing w:after="40"/>
        <w:rPr>
          <w:color w:val="000000" w:themeColor="text1"/>
        </w:rPr>
      </w:pPr>
      <w:r w:rsidRPr="001E4F95">
        <w:rPr>
          <w:rFonts w:cs="Times New Roman"/>
          <w:color w:val="000000" w:themeColor="text1"/>
          <w:lang w:eastAsia="zh-CN"/>
        </w:rPr>
        <w:t>全样本中</w:t>
      </w:r>
      <w:r w:rsidRPr="001E4F95">
        <w:rPr>
          <w:rFonts w:cs="Times New Roman"/>
          <w:color w:val="000000" w:themeColor="text1"/>
          <w:lang w:eastAsia="zh-CN"/>
        </w:rPr>
        <w:t>SportRatio</w:t>
      </w:r>
      <w:r w:rsidRPr="001E4F95">
        <w:rPr>
          <w:rFonts w:cs="Times New Roman"/>
          <w:color w:val="000000" w:themeColor="text1"/>
          <w:lang w:eastAsia="zh-CN"/>
        </w:rPr>
        <w:t>为</w:t>
      </w:r>
      <w:r w:rsidRPr="001E4F95">
        <w:rPr>
          <w:rFonts w:cs="Times New Roman"/>
          <w:color w:val="000000" w:themeColor="text1"/>
          <w:lang w:eastAsia="zh-CN"/>
        </w:rPr>
        <w:t>0</w:t>
      </w:r>
      <w:r w:rsidRPr="001E4F95">
        <w:rPr>
          <w:rFonts w:cs="Times New Roman"/>
          <w:color w:val="000000" w:themeColor="text1"/>
          <w:lang w:eastAsia="zh-CN"/>
        </w:rPr>
        <w:t>的企业有</w:t>
      </w:r>
      <w:r w:rsidRPr="001E4F95">
        <w:rPr>
          <w:rFonts w:cs="Times New Roman"/>
          <w:color w:val="000000" w:themeColor="text1"/>
          <w:lang w:eastAsia="zh-CN"/>
        </w:rPr>
        <w:t>48,469</w:t>
      </w:r>
      <w:r w:rsidRPr="001E4F95">
        <w:rPr>
          <w:rFonts w:cs="Times New Roman"/>
          <w:color w:val="000000" w:themeColor="text1"/>
          <w:lang w:eastAsia="zh-CN"/>
        </w:rPr>
        <w:t>家；</w:t>
      </w:r>
      <w:r w:rsidRPr="001E4F95">
        <w:rPr>
          <w:rFonts w:cs="Times New Roman"/>
          <w:color w:val="000000" w:themeColor="text1"/>
          <w:lang w:eastAsia="zh-CN"/>
        </w:rPr>
        <w:t>(0,0.2]</w:t>
      </w:r>
      <w:r w:rsidRPr="001E4F95">
        <w:rPr>
          <w:rFonts w:cs="Times New Roman"/>
          <w:color w:val="000000" w:themeColor="text1"/>
          <w:lang w:eastAsia="zh-CN"/>
        </w:rPr>
        <w:t>区间有</w:t>
      </w:r>
      <w:r w:rsidRPr="001E4F95">
        <w:rPr>
          <w:rFonts w:cs="Times New Roman"/>
          <w:color w:val="000000" w:themeColor="text1"/>
          <w:lang w:eastAsia="zh-CN"/>
        </w:rPr>
        <w:t>19,287</w:t>
      </w:r>
      <w:r w:rsidRPr="001E4F95">
        <w:rPr>
          <w:rFonts w:cs="Times New Roman"/>
          <w:color w:val="000000" w:themeColor="text1"/>
          <w:lang w:eastAsia="zh-CN"/>
        </w:rPr>
        <w:t>家。低比重记录被完整保留，说明系统不是先删去非体育企业再画分布。</w:t>
      </w:r>
      <w:r w:rsidRPr="001E4F95">
        <w:rPr>
          <w:rFonts w:cs="Times New Roman"/>
          <w:color w:val="000000" w:themeColor="text1"/>
        </w:rPr>
        <w:t>体育相关企业的平均</w:t>
      </w:r>
      <w:r w:rsidRPr="001E4F95">
        <w:rPr>
          <w:rFonts w:cs="Times New Roman"/>
          <w:color w:val="000000" w:themeColor="text1"/>
        </w:rPr>
        <w:t>SportRatio</w:t>
      </w:r>
      <w:r w:rsidRPr="001E4F95">
        <w:rPr>
          <w:rFonts w:cs="Times New Roman"/>
          <w:color w:val="000000" w:themeColor="text1"/>
        </w:rPr>
        <w:t>为</w:t>
      </w:r>
      <w:r w:rsidRPr="001E4F95">
        <w:rPr>
          <w:rFonts w:cs="Times New Roman"/>
          <w:color w:val="000000" w:themeColor="text1"/>
        </w:rPr>
        <w:t>64.71%</w:t>
      </w:r>
      <w:r w:rsidRPr="001E4F95">
        <w:rPr>
          <w:rFonts w:cs="Times New Roman"/>
          <w:color w:val="000000" w:themeColor="text1"/>
        </w:rPr>
        <w:t>，该均值不适用于全部</w:t>
      </w:r>
      <w:r w:rsidRPr="001E4F95">
        <w:rPr>
          <w:rFonts w:cs="Times New Roman"/>
          <w:color w:val="000000" w:themeColor="text1"/>
        </w:rPr>
        <w:t>76,687</w:t>
      </w:r>
      <w:r w:rsidRPr="001E4F95">
        <w:rPr>
          <w:rFonts w:cs="Times New Roman"/>
          <w:color w:val="000000" w:themeColor="text1"/>
        </w:rPr>
        <w:t>家企业。</w:t>
      </w:r>
    </w:p>
    <w:p w14:paraId="0173DF09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0DB1637C" wp14:editId="69424225">
            <wp:extent cx="5472000" cy="3147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体育业务占比分布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15BD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5-2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全样本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SportRatio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区间分布</w:t>
      </w:r>
    </w:p>
    <w:p w14:paraId="168ED9B7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sz w:val="18"/>
          <w:lang w:eastAsia="zh-CN"/>
        </w:rPr>
        <w:t>资料来源：正式批次</w:t>
      </w:r>
      <w:r w:rsidRPr="001E4F95">
        <w:rPr>
          <w:rFonts w:cs="Times New Roman"/>
          <w:color w:val="000000" w:themeColor="text1"/>
          <w:sz w:val="18"/>
          <w:lang w:eastAsia="zh-CN"/>
        </w:rPr>
        <w:t>20260801_203307</w:t>
      </w:r>
      <w:r w:rsidRPr="001E4F95">
        <w:rPr>
          <w:rFonts w:cs="Times New Roman"/>
          <w:color w:val="000000" w:themeColor="text1"/>
          <w:sz w:val="18"/>
          <w:lang w:eastAsia="zh-CN"/>
        </w:rPr>
        <w:t>；本研究计算。</w:t>
      </w:r>
    </w:p>
    <w:p w14:paraId="01430F8F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b/>
          <w:color w:val="000000" w:themeColor="text1"/>
          <w:sz w:val="21"/>
        </w:rPr>
        <w:t>表</w:t>
      </w:r>
      <w:r w:rsidRPr="001E4F95">
        <w:rPr>
          <w:rFonts w:cs="Times New Roman"/>
          <w:b/>
          <w:color w:val="000000" w:themeColor="text1"/>
          <w:sz w:val="21"/>
        </w:rPr>
        <w:t>5-2  SportRatio</w:t>
      </w:r>
      <w:r w:rsidRPr="001E4F95">
        <w:rPr>
          <w:rFonts w:cs="Times New Roman"/>
          <w:b/>
          <w:color w:val="000000" w:themeColor="text1"/>
          <w:sz w:val="21"/>
        </w:rPr>
        <w:t>分布明细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</w:tblGrid>
      <w:tr w:rsidR="00C46165" w:rsidRPr="001E4F95" w14:paraId="5C7093E4" w14:textId="77777777">
        <w:trPr>
          <w:jc w:val="center"/>
        </w:trPr>
        <w:tc>
          <w:tcPr>
            <w:tcW w:w="2835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89EC5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区间</w:t>
            </w:r>
          </w:p>
        </w:tc>
        <w:tc>
          <w:tcPr>
            <w:tcW w:w="2268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F996D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企业数</w:t>
            </w:r>
          </w:p>
        </w:tc>
        <w:tc>
          <w:tcPr>
            <w:tcW w:w="2268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DAFDE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占全样本</w:t>
            </w:r>
          </w:p>
        </w:tc>
      </w:tr>
      <w:tr w:rsidR="00C46165" w:rsidRPr="001E4F95" w14:paraId="5BB231FE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66D2A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0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6CE35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48,469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19AF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63.20%</w:t>
            </w:r>
          </w:p>
        </w:tc>
      </w:tr>
      <w:tr w:rsidR="00C46165" w:rsidRPr="001E4F95" w14:paraId="66CA49E5" w14:textId="77777777">
        <w:trPr>
          <w:jc w:val="center"/>
        </w:trPr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4D5AF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(0, 0.2]</w:t>
            </w:r>
          </w:p>
        </w:tc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6707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19,287</w:t>
            </w:r>
          </w:p>
        </w:tc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47F09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25.15%</w:t>
            </w:r>
          </w:p>
        </w:tc>
      </w:tr>
      <w:tr w:rsidR="00C46165" w:rsidRPr="001E4F95" w14:paraId="2D467E28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1B6EC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(0.2, 0.5]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5368A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2,762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3B94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3.60%</w:t>
            </w:r>
          </w:p>
        </w:tc>
      </w:tr>
      <w:tr w:rsidR="00C46165" w:rsidRPr="001E4F95" w14:paraId="2690E7BC" w14:textId="77777777">
        <w:trPr>
          <w:jc w:val="center"/>
        </w:trPr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28559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(0.5, 0.8]</w:t>
            </w:r>
          </w:p>
        </w:tc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25F6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916</w:t>
            </w:r>
          </w:p>
        </w:tc>
        <w:tc>
          <w:tcPr>
            <w:tcW w:w="226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1E0FC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1.19%</w:t>
            </w:r>
          </w:p>
        </w:tc>
      </w:tr>
      <w:tr w:rsidR="00C46165" w:rsidRPr="001E4F95" w14:paraId="1CF2DFE2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16D604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(0.8, 1.0]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1D0C3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5,253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9FBF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6.85%</w:t>
            </w:r>
          </w:p>
        </w:tc>
      </w:tr>
    </w:tbl>
    <w:p w14:paraId="2C83B5B2" w14:textId="77777777" w:rsidR="00C46165" w:rsidRPr="001E4F95" w:rsidRDefault="00000000">
      <w:pPr>
        <w:pStyle w:val="21"/>
        <w:rPr>
          <w:color w:val="000000" w:themeColor="text1"/>
        </w:rPr>
      </w:pPr>
      <w:bookmarkStart w:id="24" w:name="_Toc236510162"/>
      <w:r w:rsidRPr="001E4F95">
        <w:rPr>
          <w:rFonts w:ascii="Times New Roman" w:eastAsia="宋体" w:hAnsi="Times New Roman" w:cs="Times New Roman"/>
          <w:color w:val="000000" w:themeColor="text1"/>
        </w:rPr>
        <w:t xml:space="preserve">5.3 </w:t>
      </w:r>
      <w:r w:rsidRPr="001E4F95">
        <w:rPr>
          <w:rFonts w:ascii="Times New Roman" w:eastAsia="宋体" w:hAnsi="Times New Roman" w:cs="Times New Roman"/>
          <w:color w:val="000000" w:themeColor="text1"/>
        </w:rPr>
        <w:t>业态结构与跨界经营</w:t>
      </w:r>
      <w:bookmarkEnd w:id="24"/>
    </w:p>
    <w:p w14:paraId="53DE4A46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9</w:t>
      </w:r>
      <w:r w:rsidRPr="001E4F95">
        <w:rPr>
          <w:rFonts w:cs="Times New Roman"/>
          <w:color w:val="000000" w:themeColor="text1"/>
          <w:lang w:eastAsia="zh-CN"/>
        </w:rPr>
        <w:t>个操作性业态的企业数加总为</w:t>
      </w:r>
      <w:r w:rsidRPr="001E4F95">
        <w:rPr>
          <w:rFonts w:cs="Times New Roman"/>
          <w:color w:val="000000" w:themeColor="text1"/>
          <w:lang w:eastAsia="zh-CN"/>
        </w:rPr>
        <w:t>8,950</w:t>
      </w:r>
      <w:r w:rsidRPr="001E4F95">
        <w:rPr>
          <w:rFonts w:cs="Times New Roman"/>
          <w:color w:val="000000" w:themeColor="text1"/>
          <w:lang w:eastAsia="zh-CN"/>
        </w:rPr>
        <w:t>家，相对产出指数加总为</w:t>
      </w:r>
      <w:r w:rsidRPr="001E4F95">
        <w:rPr>
          <w:rFonts w:cs="Times New Roman"/>
          <w:color w:val="000000" w:themeColor="text1"/>
          <w:lang w:eastAsia="zh-CN"/>
        </w:rPr>
        <w:t>579,124.95</w:t>
      </w:r>
      <w:r w:rsidRPr="001E4F95">
        <w:rPr>
          <w:rFonts w:cs="Times New Roman"/>
          <w:color w:val="000000" w:themeColor="text1"/>
          <w:lang w:eastAsia="zh-CN"/>
        </w:rPr>
        <w:t>。体育用品与健身休闲合计占相对产出指数的</w:t>
      </w:r>
      <w:r w:rsidRPr="001E4F95">
        <w:rPr>
          <w:rFonts w:cs="Times New Roman"/>
          <w:color w:val="000000" w:themeColor="text1"/>
          <w:lang w:eastAsia="zh-CN"/>
        </w:rPr>
        <w:t>56.68%</w:t>
      </w:r>
      <w:r w:rsidRPr="001E4F95">
        <w:rPr>
          <w:rFonts w:cs="Times New Roman"/>
          <w:color w:val="000000" w:themeColor="text1"/>
          <w:lang w:eastAsia="zh-CN"/>
        </w:rPr>
        <w:t>，构成当前样本的主体。电子竞技、体育传媒和体育彩票样本量较小，其高跨界率易受小样本影响，不宜直接外推。</w:t>
      </w:r>
    </w:p>
    <w:p w14:paraId="11D44CC1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2DF064D4" wp14:editId="7A58D541">
            <wp:extent cx="5472000" cy="31975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业态结构与跨界率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7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3C1E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5-3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体育业态相对产出结构与跨界经营率</w:t>
      </w:r>
    </w:p>
    <w:p w14:paraId="16BC00A0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sz w:val="18"/>
          <w:lang w:eastAsia="zh-CN"/>
        </w:rPr>
        <w:t>资料来源：正式批次</w:t>
      </w:r>
      <w:r w:rsidRPr="001E4F95">
        <w:rPr>
          <w:rFonts w:cs="Times New Roman"/>
          <w:color w:val="000000" w:themeColor="text1"/>
          <w:sz w:val="18"/>
          <w:lang w:eastAsia="zh-CN"/>
        </w:rPr>
        <w:t>20260801_203307</w:t>
      </w:r>
      <w:r w:rsidRPr="001E4F95">
        <w:rPr>
          <w:rFonts w:cs="Times New Roman"/>
          <w:color w:val="000000" w:themeColor="text1"/>
          <w:sz w:val="18"/>
          <w:lang w:eastAsia="zh-CN"/>
        </w:rPr>
        <w:t>；相对产出指数为非货币单位。</w:t>
      </w:r>
    </w:p>
    <w:p w14:paraId="4570B6AB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表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5-3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各操作性业态的识别与相对产出结果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020"/>
        <w:gridCol w:w="1587"/>
        <w:gridCol w:w="1191"/>
        <w:gridCol w:w="1191"/>
        <w:gridCol w:w="1020"/>
        <w:gridCol w:w="1077"/>
      </w:tblGrid>
      <w:tr w:rsidR="00C46165" w:rsidRPr="001E4F95" w14:paraId="30D47FD0" w14:textId="77777777">
        <w:trPr>
          <w:jc w:val="center"/>
        </w:trPr>
        <w:tc>
          <w:tcPr>
            <w:tcW w:w="1304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C8EF9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6"/>
              </w:rPr>
              <w:t>业态</w:t>
            </w:r>
          </w:p>
        </w:tc>
        <w:tc>
          <w:tcPr>
            <w:tcW w:w="1020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5998F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6"/>
              </w:rPr>
              <w:t>企业数</w:t>
            </w:r>
          </w:p>
        </w:tc>
        <w:tc>
          <w:tcPr>
            <w:tcW w:w="1587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0D825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6"/>
              </w:rPr>
              <w:t>相对产出指数</w:t>
            </w:r>
          </w:p>
        </w:tc>
        <w:tc>
          <w:tcPr>
            <w:tcW w:w="119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0CB13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6"/>
              </w:rPr>
              <w:t>指数份额</w:t>
            </w:r>
          </w:p>
        </w:tc>
        <w:tc>
          <w:tcPr>
            <w:tcW w:w="119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B6441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6"/>
              </w:rPr>
              <w:t>平均比重</w:t>
            </w:r>
          </w:p>
        </w:tc>
        <w:tc>
          <w:tcPr>
            <w:tcW w:w="1020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1EEFA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6"/>
              </w:rPr>
              <w:t>跨界数</w:t>
            </w:r>
          </w:p>
        </w:tc>
        <w:tc>
          <w:tcPr>
            <w:tcW w:w="1077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9ACBC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6"/>
              </w:rPr>
              <w:t>跨界率</w:t>
            </w:r>
          </w:p>
        </w:tc>
      </w:tr>
      <w:tr w:rsidR="00C46165" w:rsidRPr="001E4F95" w14:paraId="000A2814" w14:textId="77777777">
        <w:trPr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82E65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体育用品</w:t>
            </w: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8BEBE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2,265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A67F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171,922.45</w:t>
            </w:r>
          </w:p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48DE8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29.69%</w:t>
            </w:r>
          </w:p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4E92E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75.90%</w:t>
            </w: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252C5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155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E06DE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6.84%</w:t>
            </w:r>
          </w:p>
        </w:tc>
      </w:tr>
      <w:tr w:rsidR="00C46165" w:rsidRPr="001E4F95" w14:paraId="17DAA645" w14:textId="77777777">
        <w:trPr>
          <w:jc w:val="center"/>
        </w:trPr>
        <w:tc>
          <w:tcPr>
            <w:tcW w:w="1304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027F0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健身休闲</w:t>
            </w:r>
          </w:p>
        </w:tc>
        <w:tc>
          <w:tcPr>
            <w:tcW w:w="102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8DD29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3,134</w:t>
            </w:r>
          </w:p>
        </w:tc>
        <w:tc>
          <w:tcPr>
            <w:tcW w:w="158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92D2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156,283.82</w:t>
            </w:r>
          </w:p>
        </w:tc>
        <w:tc>
          <w:tcPr>
            <w:tcW w:w="119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556E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26.99%</w:t>
            </w:r>
          </w:p>
        </w:tc>
        <w:tc>
          <w:tcPr>
            <w:tcW w:w="119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F2D44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49.87%</w:t>
            </w:r>
          </w:p>
        </w:tc>
        <w:tc>
          <w:tcPr>
            <w:tcW w:w="102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74A4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74</w:t>
            </w:r>
          </w:p>
        </w:tc>
        <w:tc>
          <w:tcPr>
            <w:tcW w:w="107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9DB3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2.36%</w:t>
            </w:r>
          </w:p>
        </w:tc>
      </w:tr>
      <w:tr w:rsidR="00C46165" w:rsidRPr="001E4F95" w14:paraId="7052C225" w14:textId="77777777">
        <w:trPr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2952C7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体育赛事</w:t>
            </w: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95F2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1,241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34FB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98,301.53</w:t>
            </w:r>
          </w:p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66B2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16.97%</w:t>
            </w:r>
          </w:p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B8EC05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79.21%</w:t>
            </w: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3282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448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90E35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36.10%</w:t>
            </w:r>
          </w:p>
        </w:tc>
      </w:tr>
      <w:tr w:rsidR="00C46165" w:rsidRPr="001E4F95" w14:paraId="56A49A2C" w14:textId="77777777">
        <w:trPr>
          <w:jc w:val="center"/>
        </w:trPr>
        <w:tc>
          <w:tcPr>
            <w:tcW w:w="1304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EFCCE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体育培训</w:t>
            </w:r>
          </w:p>
        </w:tc>
        <w:tc>
          <w:tcPr>
            <w:tcW w:w="102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52BF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895</w:t>
            </w:r>
          </w:p>
        </w:tc>
        <w:tc>
          <w:tcPr>
            <w:tcW w:w="158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3DD3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65,306.85</w:t>
            </w:r>
          </w:p>
        </w:tc>
        <w:tc>
          <w:tcPr>
            <w:tcW w:w="119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9B1C9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11.28%</w:t>
            </w:r>
          </w:p>
        </w:tc>
        <w:tc>
          <w:tcPr>
            <w:tcW w:w="119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6581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72.97%</w:t>
            </w:r>
          </w:p>
        </w:tc>
        <w:tc>
          <w:tcPr>
            <w:tcW w:w="102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D5B2C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34</w:t>
            </w:r>
          </w:p>
        </w:tc>
        <w:tc>
          <w:tcPr>
            <w:tcW w:w="107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F560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3.80%</w:t>
            </w:r>
          </w:p>
        </w:tc>
      </w:tr>
      <w:tr w:rsidR="00C46165" w:rsidRPr="001E4F95" w14:paraId="7A903986" w14:textId="77777777">
        <w:trPr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B60FB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体育场馆</w:t>
            </w: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42C3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601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1FCB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47,614.50</w:t>
            </w:r>
          </w:p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81F0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8.22%</w:t>
            </w:r>
          </w:p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ABAF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79.23%</w:t>
            </w: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264F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57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891D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9.48%</w:t>
            </w:r>
          </w:p>
        </w:tc>
      </w:tr>
      <w:tr w:rsidR="00C46165" w:rsidRPr="001E4F95" w14:paraId="2386182E" w14:textId="77777777">
        <w:trPr>
          <w:jc w:val="center"/>
        </w:trPr>
        <w:tc>
          <w:tcPr>
            <w:tcW w:w="1304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BC803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体育管理</w:t>
            </w:r>
          </w:p>
        </w:tc>
        <w:tc>
          <w:tcPr>
            <w:tcW w:w="102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4D829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754</w:t>
            </w:r>
          </w:p>
        </w:tc>
        <w:tc>
          <w:tcPr>
            <w:tcW w:w="158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551C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35,561.84</w:t>
            </w:r>
          </w:p>
        </w:tc>
        <w:tc>
          <w:tcPr>
            <w:tcW w:w="119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FBBB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6.14%</w:t>
            </w:r>
          </w:p>
        </w:tc>
        <w:tc>
          <w:tcPr>
            <w:tcW w:w="119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1A66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47.16%</w:t>
            </w:r>
          </w:p>
        </w:tc>
        <w:tc>
          <w:tcPr>
            <w:tcW w:w="102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8F95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154</w:t>
            </w:r>
          </w:p>
        </w:tc>
        <w:tc>
          <w:tcPr>
            <w:tcW w:w="107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12145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20.42%</w:t>
            </w:r>
          </w:p>
        </w:tc>
      </w:tr>
      <w:tr w:rsidR="00C46165" w:rsidRPr="001E4F95" w14:paraId="7095121C" w14:textId="77777777">
        <w:trPr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A5475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电子竞技</w:t>
            </w: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6EBB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43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E865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2,928.84</w:t>
            </w:r>
          </w:p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42819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0.51%</w:t>
            </w:r>
          </w:p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309E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68.11%</w:t>
            </w: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0571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39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AA5B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90.70%</w:t>
            </w:r>
          </w:p>
        </w:tc>
      </w:tr>
      <w:tr w:rsidR="00C46165" w:rsidRPr="001E4F95" w14:paraId="4D3760F6" w14:textId="77777777">
        <w:trPr>
          <w:jc w:val="center"/>
        </w:trPr>
        <w:tc>
          <w:tcPr>
            <w:tcW w:w="1304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49CD5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体育传媒</w:t>
            </w:r>
          </w:p>
        </w:tc>
        <w:tc>
          <w:tcPr>
            <w:tcW w:w="102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1572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16</w:t>
            </w:r>
          </w:p>
        </w:tc>
        <w:tc>
          <w:tcPr>
            <w:tcW w:w="158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8F005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1,139.01</w:t>
            </w:r>
          </w:p>
        </w:tc>
        <w:tc>
          <w:tcPr>
            <w:tcW w:w="119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CD7E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0.20%</w:t>
            </w:r>
          </w:p>
        </w:tc>
        <w:tc>
          <w:tcPr>
            <w:tcW w:w="119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32B2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71.19%</w:t>
            </w:r>
          </w:p>
        </w:tc>
        <w:tc>
          <w:tcPr>
            <w:tcW w:w="102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A810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15</w:t>
            </w:r>
          </w:p>
        </w:tc>
        <w:tc>
          <w:tcPr>
            <w:tcW w:w="107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3F268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93.75%</w:t>
            </w:r>
          </w:p>
        </w:tc>
      </w:tr>
      <w:tr w:rsidR="00C46165" w:rsidRPr="001E4F95" w14:paraId="62D92F99" w14:textId="77777777">
        <w:trPr>
          <w:jc w:val="center"/>
        </w:trPr>
        <w:tc>
          <w:tcPr>
            <w:tcW w:w="13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FADC2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体育彩票</w:t>
            </w: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9D70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</w:t>
            </w:r>
          </w:p>
        </w:tc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9E79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66.11</w:t>
            </w:r>
          </w:p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5E4A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0.01%</w:t>
            </w:r>
          </w:p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26509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66.11%</w:t>
            </w:r>
          </w:p>
        </w:tc>
        <w:tc>
          <w:tcPr>
            <w:tcW w:w="10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B0036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</w:t>
            </w:r>
          </w:p>
        </w:tc>
        <w:tc>
          <w:tcPr>
            <w:tcW w:w="10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3C78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6"/>
              </w:rPr>
              <w:t>100.00%</w:t>
            </w:r>
          </w:p>
        </w:tc>
      </w:tr>
    </w:tbl>
    <w:p w14:paraId="4103DFF7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lastRenderedPageBreak/>
        <w:t>体育赛事的跨界率为</w:t>
      </w:r>
      <w:r w:rsidRPr="001E4F95">
        <w:rPr>
          <w:rFonts w:cs="Times New Roman"/>
          <w:color w:val="000000" w:themeColor="text1"/>
          <w:lang w:eastAsia="zh-CN"/>
        </w:rPr>
        <w:t>36.10%</w:t>
      </w:r>
      <w:r w:rsidRPr="001E4F95">
        <w:rPr>
          <w:rFonts w:cs="Times New Roman"/>
          <w:color w:val="000000" w:themeColor="text1"/>
          <w:lang w:eastAsia="zh-CN"/>
        </w:rPr>
        <w:t>，高于体育用品、健身休闲、体育培训和体育场馆，说明赛事业务更常嵌入文旅、会展或综合服务企业。体育企业中共有</w:t>
      </w:r>
      <w:r w:rsidRPr="001E4F95">
        <w:rPr>
          <w:rFonts w:cs="Times New Roman"/>
          <w:color w:val="000000" w:themeColor="text1"/>
          <w:lang w:eastAsia="zh-CN"/>
        </w:rPr>
        <w:t>977</w:t>
      </w:r>
      <w:r w:rsidRPr="001E4F95">
        <w:rPr>
          <w:rFonts w:cs="Times New Roman"/>
          <w:color w:val="000000" w:themeColor="text1"/>
          <w:lang w:eastAsia="zh-CN"/>
        </w:rPr>
        <w:t>家被标记为跨界，占</w:t>
      </w:r>
      <w:r w:rsidRPr="001E4F95">
        <w:rPr>
          <w:rFonts w:cs="Times New Roman"/>
          <w:color w:val="000000" w:themeColor="text1"/>
          <w:lang w:eastAsia="zh-CN"/>
        </w:rPr>
        <w:t>10.92%</w:t>
      </w:r>
      <w:r w:rsidRPr="001E4F95">
        <w:rPr>
          <w:rFonts w:cs="Times New Roman"/>
          <w:color w:val="000000" w:themeColor="text1"/>
          <w:lang w:eastAsia="zh-CN"/>
        </w:rPr>
        <w:t>。这一比例来自规则定义，后续仍需人工抽样核验。</w:t>
      </w:r>
    </w:p>
    <w:p w14:paraId="4CB3E956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25" w:name="_Toc236510163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5.4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区域分布与集中度</w:t>
      </w:r>
      <w:bookmarkEnd w:id="25"/>
    </w:p>
    <w:p w14:paraId="2D0B6395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按企业名称字符串抽取的地级市结果中，成都市相对产出指数为</w:t>
      </w:r>
      <w:r w:rsidRPr="001E4F95">
        <w:rPr>
          <w:rFonts w:cs="Times New Roman"/>
          <w:color w:val="000000" w:themeColor="text1"/>
          <w:lang w:eastAsia="zh-CN"/>
        </w:rPr>
        <w:t>237,694.59</w:t>
      </w:r>
      <w:r w:rsidRPr="001E4F95">
        <w:rPr>
          <w:rFonts w:cs="Times New Roman"/>
          <w:color w:val="000000" w:themeColor="text1"/>
          <w:lang w:eastAsia="zh-CN"/>
        </w:rPr>
        <w:t>，体育企业数为</w:t>
      </w:r>
      <w:r w:rsidRPr="001E4F95">
        <w:rPr>
          <w:rFonts w:cs="Times New Roman"/>
          <w:color w:val="000000" w:themeColor="text1"/>
          <w:lang w:eastAsia="zh-CN"/>
        </w:rPr>
        <w:t>3,704</w:t>
      </w:r>
      <w:r w:rsidRPr="001E4F95">
        <w:rPr>
          <w:rFonts w:cs="Times New Roman"/>
          <w:color w:val="000000" w:themeColor="text1"/>
          <w:lang w:eastAsia="zh-CN"/>
        </w:rPr>
        <w:t>家。全部区域口径包含</w:t>
      </w:r>
      <w:r w:rsidRPr="001E4F95">
        <w:rPr>
          <w:rFonts w:cs="Times New Roman"/>
          <w:color w:val="000000" w:themeColor="text1"/>
          <w:lang w:eastAsia="zh-CN"/>
        </w:rPr>
        <w:t>“</w:t>
      </w:r>
      <w:r w:rsidRPr="001E4F95">
        <w:rPr>
          <w:rFonts w:cs="Times New Roman"/>
          <w:color w:val="000000" w:themeColor="text1"/>
          <w:lang w:eastAsia="zh-CN"/>
        </w:rPr>
        <w:t>四川省本级</w:t>
      </w:r>
      <w:r w:rsidRPr="001E4F95">
        <w:rPr>
          <w:rFonts w:cs="Times New Roman"/>
          <w:color w:val="000000" w:themeColor="text1"/>
          <w:lang w:eastAsia="zh-CN"/>
        </w:rPr>
        <w:t>”</w:t>
      </w:r>
      <w:r w:rsidRPr="001E4F95">
        <w:rPr>
          <w:rFonts w:cs="Times New Roman"/>
          <w:color w:val="000000" w:themeColor="text1"/>
          <w:lang w:eastAsia="zh-CN"/>
        </w:rPr>
        <w:t>，据此计算</w:t>
      </w:r>
      <w:r w:rsidRPr="001E4F95">
        <w:rPr>
          <w:rFonts w:cs="Times New Roman"/>
          <w:color w:val="000000" w:themeColor="text1"/>
          <w:lang w:eastAsia="zh-CN"/>
        </w:rPr>
        <w:t>CR3</w:t>
      </w:r>
      <w:r w:rsidRPr="001E4F95">
        <w:rPr>
          <w:rFonts w:cs="Times New Roman"/>
          <w:color w:val="000000" w:themeColor="text1"/>
          <w:lang w:eastAsia="zh-CN"/>
        </w:rPr>
        <w:t>为</w:t>
      </w:r>
      <w:r w:rsidRPr="001E4F95">
        <w:rPr>
          <w:rFonts w:cs="Times New Roman"/>
          <w:color w:val="000000" w:themeColor="text1"/>
          <w:lang w:eastAsia="zh-CN"/>
        </w:rPr>
        <w:t>77.33%</w:t>
      </w:r>
      <w:r w:rsidRPr="001E4F95">
        <w:rPr>
          <w:rFonts w:cs="Times New Roman"/>
          <w:color w:val="000000" w:themeColor="text1"/>
          <w:lang w:eastAsia="zh-CN"/>
        </w:rPr>
        <w:t>，</w:t>
      </w:r>
      <w:r w:rsidRPr="001E4F95">
        <w:rPr>
          <w:rFonts w:cs="Times New Roman"/>
          <w:color w:val="000000" w:themeColor="text1"/>
          <w:lang w:eastAsia="zh-CN"/>
        </w:rPr>
        <w:t>CR5</w:t>
      </w:r>
      <w:r w:rsidRPr="001E4F95">
        <w:rPr>
          <w:rFonts w:cs="Times New Roman"/>
          <w:color w:val="000000" w:themeColor="text1"/>
          <w:lang w:eastAsia="zh-CN"/>
        </w:rPr>
        <w:t>为</w:t>
      </w:r>
      <w:r w:rsidRPr="001E4F95">
        <w:rPr>
          <w:rFonts w:cs="Times New Roman"/>
          <w:color w:val="000000" w:themeColor="text1"/>
          <w:lang w:eastAsia="zh-CN"/>
        </w:rPr>
        <w:t>81.35%</w:t>
      </w:r>
      <w:r w:rsidRPr="001E4F95">
        <w:rPr>
          <w:rFonts w:cs="Times New Roman"/>
          <w:color w:val="000000" w:themeColor="text1"/>
          <w:lang w:eastAsia="zh-CN"/>
        </w:rPr>
        <w:t>，</w:t>
      </w:r>
      <w:r w:rsidRPr="001E4F95">
        <w:rPr>
          <w:rFonts w:cs="Times New Roman"/>
          <w:color w:val="000000" w:themeColor="text1"/>
          <w:lang w:eastAsia="zh-CN"/>
        </w:rPr>
        <w:t>HHI</w:t>
      </w:r>
      <w:r w:rsidRPr="001E4F95">
        <w:rPr>
          <w:rFonts w:cs="Times New Roman"/>
          <w:color w:val="000000" w:themeColor="text1"/>
          <w:lang w:eastAsia="zh-CN"/>
        </w:rPr>
        <w:t>为</w:t>
      </w:r>
      <w:r w:rsidRPr="001E4F95">
        <w:rPr>
          <w:rFonts w:cs="Times New Roman"/>
          <w:color w:val="000000" w:themeColor="text1"/>
          <w:lang w:eastAsia="zh-CN"/>
        </w:rPr>
        <w:t>2867.64</w:t>
      </w:r>
      <w:r w:rsidRPr="001E4F95">
        <w:rPr>
          <w:rFonts w:cs="Times New Roman"/>
          <w:color w:val="000000" w:themeColor="text1"/>
          <w:lang w:eastAsia="zh-CN"/>
        </w:rPr>
        <w:t>，</w:t>
      </w:r>
      <w:r w:rsidRPr="001E4F95">
        <w:rPr>
          <w:rFonts w:cs="Times New Roman"/>
          <w:color w:val="000000" w:themeColor="text1"/>
          <w:lang w:eastAsia="zh-CN"/>
        </w:rPr>
        <w:t>Gini</w:t>
      </w:r>
      <w:r w:rsidRPr="001E4F95">
        <w:rPr>
          <w:rFonts w:cs="Times New Roman"/>
          <w:color w:val="000000" w:themeColor="text1"/>
          <w:lang w:eastAsia="zh-CN"/>
        </w:rPr>
        <w:t>为</w:t>
      </w:r>
      <w:r w:rsidRPr="001E4F95">
        <w:rPr>
          <w:rFonts w:cs="Times New Roman"/>
          <w:color w:val="000000" w:themeColor="text1"/>
          <w:lang w:eastAsia="zh-CN"/>
        </w:rPr>
        <w:t>0.823294</w:t>
      </w:r>
      <w:r w:rsidRPr="001E4F95">
        <w:rPr>
          <w:rFonts w:cs="Times New Roman"/>
          <w:color w:val="000000" w:themeColor="text1"/>
          <w:lang w:eastAsia="zh-CN"/>
        </w:rPr>
        <w:t>。</w:t>
      </w:r>
    </w:p>
    <w:p w14:paraId="28F80EB7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drawing>
          <wp:inline distT="0" distB="0" distL="0" distR="0" wp14:anchorId="3CFA2051" wp14:editId="62B68716">
            <wp:extent cx="5472000" cy="339988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区域相对产出指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9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562D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5-4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地级市体育业务相对产出指数前十位</w:t>
      </w:r>
    </w:p>
    <w:p w14:paraId="314BD211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sz w:val="18"/>
          <w:lang w:eastAsia="zh-CN"/>
        </w:rPr>
        <w:t>资料来源：正式批次</w:t>
      </w:r>
      <w:r w:rsidRPr="001E4F95">
        <w:rPr>
          <w:rFonts w:cs="Times New Roman"/>
          <w:color w:val="000000" w:themeColor="text1"/>
          <w:sz w:val="18"/>
          <w:lang w:eastAsia="zh-CN"/>
        </w:rPr>
        <w:t>20260801_203307</w:t>
      </w:r>
      <w:r w:rsidRPr="001E4F95">
        <w:rPr>
          <w:rFonts w:cs="Times New Roman"/>
          <w:color w:val="000000" w:themeColor="text1"/>
          <w:sz w:val="18"/>
          <w:lang w:eastAsia="zh-CN"/>
        </w:rPr>
        <w:t>；区域由企业名称抽取，四川省本级未列入地级市排名。</w:t>
      </w:r>
    </w:p>
    <w:p w14:paraId="44C6A839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表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5-4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地级市相对产出指数前十位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361"/>
        <w:gridCol w:w="1361"/>
        <w:gridCol w:w="1701"/>
        <w:gridCol w:w="1247"/>
        <w:gridCol w:w="1701"/>
      </w:tblGrid>
      <w:tr w:rsidR="00C46165" w:rsidRPr="001E4F95" w14:paraId="762F99BA" w14:textId="77777777">
        <w:trPr>
          <w:jc w:val="center"/>
        </w:trPr>
        <w:tc>
          <w:tcPr>
            <w:tcW w:w="680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06894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7"/>
              </w:rPr>
              <w:t>序号</w:t>
            </w:r>
          </w:p>
        </w:tc>
        <w:tc>
          <w:tcPr>
            <w:tcW w:w="136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8AF63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7"/>
              </w:rPr>
              <w:t>区域</w:t>
            </w:r>
          </w:p>
        </w:tc>
        <w:tc>
          <w:tcPr>
            <w:tcW w:w="136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D3697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7"/>
              </w:rPr>
              <w:t>体育企业数</w:t>
            </w:r>
          </w:p>
        </w:tc>
        <w:tc>
          <w:tcPr>
            <w:tcW w:w="170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41F96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7"/>
              </w:rPr>
              <w:t>相对产出指数</w:t>
            </w:r>
          </w:p>
        </w:tc>
        <w:tc>
          <w:tcPr>
            <w:tcW w:w="1247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BCAA70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7"/>
              </w:rPr>
              <w:t>平均比重</w:t>
            </w:r>
          </w:p>
        </w:tc>
        <w:tc>
          <w:tcPr>
            <w:tcW w:w="1701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36892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7"/>
              </w:rPr>
              <w:t>主导业态</w:t>
            </w:r>
          </w:p>
        </w:tc>
      </w:tr>
      <w:tr w:rsidR="00C46165" w:rsidRPr="001E4F95" w14:paraId="64CCA150" w14:textId="77777777">
        <w:trPr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97BF8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1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85954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成都市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BBFFB6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3,704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DB0D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237,694.59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561F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64.17%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C66B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健身休闲</w:t>
            </w:r>
          </w:p>
        </w:tc>
      </w:tr>
      <w:tr w:rsidR="00C46165" w:rsidRPr="001E4F95" w14:paraId="50D0FD1E" w14:textId="77777777">
        <w:trPr>
          <w:jc w:val="center"/>
        </w:trPr>
        <w:tc>
          <w:tcPr>
            <w:tcW w:w="68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5746C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2</w:t>
            </w:r>
          </w:p>
        </w:tc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01E75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绵阳市</w:t>
            </w:r>
          </w:p>
        </w:tc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D7CC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208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94F3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13,636.00</w:t>
            </w:r>
          </w:p>
        </w:tc>
        <w:tc>
          <w:tcPr>
            <w:tcW w:w="124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FBD4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65.56%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E1D25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健身休闲</w:t>
            </w:r>
          </w:p>
        </w:tc>
      </w:tr>
      <w:tr w:rsidR="00C46165" w:rsidRPr="001E4F95" w14:paraId="11EC3B1C" w14:textId="77777777">
        <w:trPr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B3838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3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8B1C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宜宾市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82B3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188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2F4268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11,993.47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3972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63.80%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B7BE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体育用品</w:t>
            </w:r>
          </w:p>
        </w:tc>
      </w:tr>
      <w:tr w:rsidR="00C46165" w:rsidRPr="001E4F95" w14:paraId="42599041" w14:textId="77777777">
        <w:trPr>
          <w:jc w:val="center"/>
        </w:trPr>
        <w:tc>
          <w:tcPr>
            <w:tcW w:w="68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468E1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4</w:t>
            </w:r>
          </w:p>
        </w:tc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58530E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泸州市</w:t>
            </w:r>
          </w:p>
        </w:tc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73FA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189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329A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11,251.82</w:t>
            </w:r>
          </w:p>
        </w:tc>
        <w:tc>
          <w:tcPr>
            <w:tcW w:w="124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239CC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59.53%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0153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健身休闲</w:t>
            </w:r>
          </w:p>
        </w:tc>
      </w:tr>
      <w:tr w:rsidR="00C46165" w:rsidRPr="001E4F95" w14:paraId="4CF6D637" w14:textId="77777777">
        <w:trPr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FE1D6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5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7888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乐山市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CE528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159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FED3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10,318.35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B83D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64.90%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C849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健身休闲</w:t>
            </w:r>
          </w:p>
        </w:tc>
      </w:tr>
      <w:tr w:rsidR="00C46165" w:rsidRPr="001E4F95" w14:paraId="23EDEECE" w14:textId="77777777">
        <w:trPr>
          <w:jc w:val="center"/>
        </w:trPr>
        <w:tc>
          <w:tcPr>
            <w:tcW w:w="68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4E704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lastRenderedPageBreak/>
              <w:t>6</w:t>
            </w:r>
          </w:p>
        </w:tc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F5D5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南充市</w:t>
            </w:r>
          </w:p>
        </w:tc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BD69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146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4942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9,648.22</w:t>
            </w:r>
          </w:p>
        </w:tc>
        <w:tc>
          <w:tcPr>
            <w:tcW w:w="124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5986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66.08%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5872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体育用品</w:t>
            </w:r>
          </w:p>
        </w:tc>
      </w:tr>
      <w:tr w:rsidR="00C46165" w:rsidRPr="001E4F95" w14:paraId="69F7378E" w14:textId="77777777">
        <w:trPr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F2B4D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7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D1A56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眉山市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84EB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100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013B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7,010.47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1933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70.10%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9C49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体育赛事</w:t>
            </w:r>
          </w:p>
        </w:tc>
      </w:tr>
      <w:tr w:rsidR="00C46165" w:rsidRPr="001E4F95" w14:paraId="21CE6C46" w14:textId="77777777">
        <w:trPr>
          <w:jc w:val="center"/>
        </w:trPr>
        <w:tc>
          <w:tcPr>
            <w:tcW w:w="68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B41F7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8</w:t>
            </w:r>
          </w:p>
        </w:tc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E727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自贡市</w:t>
            </w:r>
          </w:p>
        </w:tc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A92AE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106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9E75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6,954.50</w:t>
            </w:r>
          </w:p>
        </w:tc>
        <w:tc>
          <w:tcPr>
            <w:tcW w:w="124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BDA8E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65.61%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C420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体育赛事</w:t>
            </w:r>
          </w:p>
        </w:tc>
      </w:tr>
      <w:tr w:rsidR="00C46165" w:rsidRPr="001E4F95" w14:paraId="67F6ACF8" w14:textId="77777777">
        <w:trPr>
          <w:jc w:val="center"/>
        </w:trPr>
        <w:tc>
          <w:tcPr>
            <w:tcW w:w="6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1C8FD3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9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655A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达州市</w:t>
            </w:r>
          </w:p>
        </w:tc>
        <w:tc>
          <w:tcPr>
            <w:tcW w:w="136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D2181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97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29AB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6,834.64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57A0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70.46%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C63BF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体育用品</w:t>
            </w:r>
          </w:p>
        </w:tc>
      </w:tr>
      <w:tr w:rsidR="00C46165" w:rsidRPr="001E4F95" w14:paraId="52CECD9B" w14:textId="77777777">
        <w:trPr>
          <w:jc w:val="center"/>
        </w:trPr>
        <w:tc>
          <w:tcPr>
            <w:tcW w:w="680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56A23F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10</w:t>
            </w:r>
          </w:p>
        </w:tc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B4A4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攀枝花市</w:t>
            </w:r>
          </w:p>
        </w:tc>
        <w:tc>
          <w:tcPr>
            <w:tcW w:w="136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7CE47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91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4F035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6,356.45</w:t>
            </w:r>
          </w:p>
        </w:tc>
        <w:tc>
          <w:tcPr>
            <w:tcW w:w="124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018B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69.85%</w:t>
            </w:r>
          </w:p>
        </w:tc>
        <w:tc>
          <w:tcPr>
            <w:tcW w:w="1701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0065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7"/>
              </w:rPr>
              <w:t>健身休闲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58"/>
      </w:tblGrid>
      <w:tr w:rsidR="00C46165" w:rsidRPr="001E4F95" w14:paraId="7559ADEF" w14:textId="77777777">
        <w:trPr>
          <w:jc w:val="center"/>
        </w:trPr>
        <w:tc>
          <w:tcPr>
            <w:tcW w:w="8958" w:type="dxa"/>
            <w:tcBorders>
              <w:top w:val="single" w:sz="0" w:space="0" w:color="FFFFFF"/>
              <w:left w:val="single" w:sz="6" w:space="0" w:color="B58A56"/>
              <w:bottom w:val="single" w:sz="0" w:space="0" w:color="FFFFFF"/>
              <w:right w:val="single" w:sz="0" w:space="0" w:color="FFFFFF"/>
            </w:tcBorders>
            <w:shd w:val="clear" w:color="auto" w:fill="F4F7F8"/>
            <w:tcMar>
              <w:top w:w="140" w:type="dxa"/>
              <w:left w:w="180" w:type="dxa"/>
              <w:bottom w:w="140" w:type="dxa"/>
              <w:right w:w="140" w:type="dxa"/>
            </w:tcMar>
          </w:tcPr>
          <w:p w14:paraId="62B28308" w14:textId="77777777" w:rsidR="00C46165" w:rsidRPr="001E4F95" w:rsidRDefault="00000000">
            <w:pPr>
              <w:spacing w:line="324" w:lineRule="auto"/>
              <w:ind w:firstLine="0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b/>
                <w:color w:val="000000" w:themeColor="text1"/>
                <w:sz w:val="22"/>
                <w:lang w:eastAsia="zh-CN"/>
              </w:rPr>
              <w:t>区域解释边界｜</w:t>
            </w:r>
            <w:r w:rsidRPr="001E4F95">
              <w:rPr>
                <w:rFonts w:cs="Times New Roman"/>
                <w:color w:val="000000" w:themeColor="text1"/>
                <w:sz w:val="22"/>
                <w:lang w:eastAsia="zh-CN"/>
              </w:rPr>
              <w:t>名称抽取不能替代注册地址。正式区域统计应以登记机关或标准地址编码回接；本结果只说明当前字符串规则下的结构特征。</w:t>
            </w:r>
          </w:p>
        </w:tc>
      </w:tr>
    </w:tbl>
    <w:p w14:paraId="0C729679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26" w:name="_Toc236510164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5.5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结果讨论</w:t>
      </w:r>
      <w:bookmarkEnd w:id="26"/>
    </w:p>
    <w:p w14:paraId="2303621F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融合识别的主要价值在于发现传统代码口径以外的候选企业，并给出可复核证据。</w:t>
      </w:r>
      <w:r w:rsidRPr="001E4F95">
        <w:rPr>
          <w:rFonts w:cs="Times New Roman"/>
          <w:color w:val="000000" w:themeColor="text1"/>
          <w:lang w:eastAsia="zh-CN"/>
        </w:rPr>
        <w:t>934</w:t>
      </w:r>
      <w:r w:rsidRPr="001E4F95">
        <w:rPr>
          <w:rFonts w:cs="Times New Roman"/>
          <w:color w:val="000000" w:themeColor="text1"/>
          <w:lang w:eastAsia="zh-CN"/>
        </w:rPr>
        <w:t>家增量记录使统计人员能够建立重点复核清单，而非直接改变法定统计总量。</w:t>
      </w:r>
    </w:p>
    <w:p w14:paraId="53D801A6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SportRatio</w:t>
      </w:r>
      <w:r w:rsidRPr="001E4F95">
        <w:rPr>
          <w:rFonts w:cs="Times New Roman"/>
          <w:color w:val="000000" w:themeColor="text1"/>
          <w:lang w:eastAsia="zh-CN"/>
        </w:rPr>
        <w:t>把二值归类扩展为连续代理变量，使同一业态内部的经营内容差异能够进入汇总。但代理值仍由登记文本和人工权重共同决定，不能据此判断企业真实体育营收。</w:t>
      </w:r>
    </w:p>
    <w:p w14:paraId="20C41499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区域和新兴业态结果显示了进一步补充数据的方向：区域分析需要标准地址，新兴业态需要扩大样本和建立人工标注，规模测算需要接入营收或增加值。结果的价值不仅在于给出数字，也在于明确下一步数据治理的优先级。</w:t>
      </w:r>
    </w:p>
    <w:p w14:paraId="1D56FC83" w14:textId="77777777" w:rsidR="00C46165" w:rsidRPr="001E4F95" w:rsidRDefault="00000000">
      <w:pPr>
        <w:pStyle w:val="1"/>
        <w:rPr>
          <w:color w:val="000000" w:themeColor="text1"/>
          <w:lang w:eastAsia="zh-CN"/>
        </w:rPr>
      </w:pPr>
      <w:bookmarkStart w:id="27" w:name="_Toc236510165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第六章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系统架构与原型实现</w:t>
      </w:r>
      <w:bookmarkEnd w:id="27"/>
    </w:p>
    <w:p w14:paraId="2D21F9A5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28" w:name="_Toc236510166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6.1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技术架构</w:t>
      </w:r>
      <w:bookmarkEnd w:id="28"/>
    </w:p>
    <w:p w14:paraId="0B72F06F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系统采用前后端分离架构。交互层使用</w:t>
      </w:r>
      <w:r w:rsidRPr="001E4F95">
        <w:rPr>
          <w:rFonts w:cs="Times New Roman"/>
          <w:color w:val="000000" w:themeColor="text1"/>
          <w:lang w:eastAsia="zh-CN"/>
        </w:rPr>
        <w:t>Vue 3</w:t>
      </w:r>
      <w:r w:rsidRPr="001E4F95">
        <w:rPr>
          <w:rFonts w:cs="Times New Roman"/>
          <w:color w:val="000000" w:themeColor="text1"/>
          <w:lang w:eastAsia="zh-CN"/>
        </w:rPr>
        <w:t>与</w:t>
      </w:r>
      <w:r w:rsidRPr="001E4F95">
        <w:rPr>
          <w:rFonts w:cs="Times New Roman"/>
          <w:color w:val="000000" w:themeColor="text1"/>
          <w:lang w:eastAsia="zh-CN"/>
        </w:rPr>
        <w:t>Element Plus</w:t>
      </w:r>
      <w:r w:rsidRPr="001E4F95">
        <w:rPr>
          <w:rFonts w:cs="Times New Roman"/>
          <w:color w:val="000000" w:themeColor="text1"/>
          <w:lang w:eastAsia="zh-CN"/>
        </w:rPr>
        <w:t>，接口层由</w:t>
      </w:r>
      <w:r w:rsidRPr="001E4F95">
        <w:rPr>
          <w:rFonts w:cs="Times New Roman"/>
          <w:color w:val="000000" w:themeColor="text1"/>
          <w:lang w:eastAsia="zh-CN"/>
        </w:rPr>
        <w:t>FastAPI</w:t>
      </w:r>
      <w:r w:rsidRPr="001E4F95">
        <w:rPr>
          <w:rFonts w:cs="Times New Roman"/>
          <w:color w:val="000000" w:themeColor="text1"/>
          <w:lang w:eastAsia="zh-CN"/>
        </w:rPr>
        <w:t>提供数据预处理、企业识别、比重测算、产业分析和风险快照等服务，服务层封装</w:t>
      </w:r>
      <w:r w:rsidRPr="001E4F95">
        <w:rPr>
          <w:rFonts w:cs="Times New Roman"/>
          <w:color w:val="000000" w:themeColor="text1"/>
          <w:lang w:eastAsia="zh-CN"/>
        </w:rPr>
        <w:t>NLP</w:t>
      </w:r>
      <w:r w:rsidRPr="001E4F95">
        <w:rPr>
          <w:rFonts w:cs="Times New Roman"/>
          <w:color w:val="000000" w:themeColor="text1"/>
          <w:lang w:eastAsia="zh-CN"/>
        </w:rPr>
        <w:t>预处理与规则融合逻辑，数据层保留原始</w:t>
      </w:r>
      <w:r w:rsidRPr="001E4F95">
        <w:rPr>
          <w:rFonts w:cs="Times New Roman"/>
          <w:color w:val="000000" w:themeColor="text1"/>
          <w:lang w:eastAsia="zh-CN"/>
        </w:rPr>
        <w:t>Excel</w:t>
      </w:r>
      <w:r w:rsidRPr="001E4F95">
        <w:rPr>
          <w:rFonts w:cs="Times New Roman"/>
          <w:color w:val="000000" w:themeColor="text1"/>
          <w:lang w:eastAsia="zh-CN"/>
        </w:rPr>
        <w:t>、处理后</w:t>
      </w:r>
      <w:r w:rsidRPr="001E4F95">
        <w:rPr>
          <w:rFonts w:cs="Times New Roman"/>
          <w:color w:val="000000" w:themeColor="text1"/>
          <w:lang w:eastAsia="zh-CN"/>
        </w:rPr>
        <w:t>CSV/JSON</w:t>
      </w:r>
      <w:r w:rsidRPr="001E4F95">
        <w:rPr>
          <w:rFonts w:cs="Times New Roman"/>
          <w:color w:val="000000" w:themeColor="text1"/>
          <w:lang w:eastAsia="zh-CN"/>
        </w:rPr>
        <w:t>、</w:t>
      </w:r>
      <w:r w:rsidRPr="001E4F95">
        <w:rPr>
          <w:rFonts w:cs="Times New Roman"/>
          <w:color w:val="000000" w:themeColor="text1"/>
          <w:lang w:eastAsia="zh-CN"/>
        </w:rPr>
        <w:t>SQLite</w:t>
      </w:r>
      <w:r w:rsidRPr="001E4F95">
        <w:rPr>
          <w:rFonts w:cs="Times New Roman"/>
          <w:color w:val="000000" w:themeColor="text1"/>
          <w:lang w:eastAsia="zh-CN"/>
        </w:rPr>
        <w:t>及批次信息。</w:t>
      </w:r>
    </w:p>
    <w:p w14:paraId="537E7C5C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drawing>
          <wp:inline distT="0" distB="0" distL="0" distR="0" wp14:anchorId="0F6931A9" wp14:editId="51A2CBA1">
            <wp:extent cx="5472000" cy="311968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系统技术架构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AB71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6-1  SportFusion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系统技术架构</w:t>
      </w:r>
    </w:p>
    <w:p w14:paraId="5B3ED59B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sz w:val="18"/>
          <w:lang w:eastAsia="zh-CN"/>
        </w:rPr>
        <w:t>资料来源：依据项目当前前后端代码与路由结构绘制。</w:t>
      </w:r>
    </w:p>
    <w:p w14:paraId="1495870F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表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6-1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系统主要模块与统计用途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2835"/>
      </w:tblGrid>
      <w:tr w:rsidR="00C46165" w:rsidRPr="001E4F95" w14:paraId="08644DFD" w14:textId="77777777">
        <w:trPr>
          <w:jc w:val="center"/>
        </w:trPr>
        <w:tc>
          <w:tcPr>
            <w:tcW w:w="1984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B0591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模块</w:t>
            </w:r>
          </w:p>
        </w:tc>
        <w:tc>
          <w:tcPr>
            <w:tcW w:w="3402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17193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核心功能</w:t>
            </w:r>
          </w:p>
        </w:tc>
        <w:tc>
          <w:tcPr>
            <w:tcW w:w="2835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F15CD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统计用途</w:t>
            </w:r>
          </w:p>
        </w:tc>
      </w:tr>
      <w:tr w:rsidR="00C46165" w:rsidRPr="001E4F95" w14:paraId="17BF3294" w14:textId="77777777">
        <w:trPr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0A7C6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企业数据治理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0107A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上传、清洗、字段校验与批次管理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EAE3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建立可追溯数据底表</w:t>
            </w:r>
          </w:p>
        </w:tc>
      </w:tr>
      <w:tr w:rsidR="00C46165" w:rsidRPr="001E4F95" w14:paraId="7369C6AF" w14:textId="77777777">
        <w:trPr>
          <w:jc w:val="center"/>
        </w:trPr>
        <w:tc>
          <w:tcPr>
            <w:tcW w:w="1984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41822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企业业务识别</w:t>
            </w:r>
          </w:p>
        </w:tc>
        <w:tc>
          <w:tcPr>
            <w:tcW w:w="3402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E84F4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单条与批量文本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—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代码融合判定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F4BB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形成候选企业及判定依据</w:t>
            </w:r>
          </w:p>
        </w:tc>
      </w:tr>
      <w:tr w:rsidR="00C46165" w:rsidRPr="001E4F95" w14:paraId="648BD428" w14:textId="77777777">
        <w:trPr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821C8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经营比重测算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4D96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四维特征计算与企业级解释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847BB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生成相对业务比重代理值</w:t>
            </w:r>
          </w:p>
        </w:tc>
      </w:tr>
      <w:tr w:rsidR="00C46165" w:rsidRPr="001E4F95" w14:paraId="2240900A" w14:textId="77777777">
        <w:trPr>
          <w:jc w:val="center"/>
        </w:trPr>
        <w:tc>
          <w:tcPr>
            <w:tcW w:w="1984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6DBD8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产业规模分析</w:t>
            </w:r>
          </w:p>
        </w:tc>
        <w:tc>
          <w:tcPr>
            <w:tcW w:w="3402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CDB17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业态、区域、集中度与漏斗分析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ADD13B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支持结构比较与复核排序</w:t>
            </w:r>
          </w:p>
        </w:tc>
      </w:tr>
      <w:tr w:rsidR="00C46165" w:rsidRPr="001E4F95" w14:paraId="2723D7BD" w14:textId="77777777">
        <w:trPr>
          <w:jc w:val="center"/>
        </w:trPr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28DAD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风险与证据追踪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1E89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批次异常、口径差异和来源展示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57C7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降低误用与版本混淆</w:t>
            </w:r>
          </w:p>
        </w:tc>
      </w:tr>
      <w:tr w:rsidR="00C46165" w:rsidRPr="001E4F95" w14:paraId="699CD0DC" w14:textId="77777777">
        <w:trPr>
          <w:jc w:val="center"/>
        </w:trPr>
        <w:tc>
          <w:tcPr>
            <w:tcW w:w="1984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83B96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lastRenderedPageBreak/>
              <w:t>报告与成果中心</w:t>
            </w:r>
          </w:p>
        </w:tc>
        <w:tc>
          <w:tcPr>
            <w:tcW w:w="3402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B2BFBC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表格、图表和结果导出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26BC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服务复核、汇报与留档</w:t>
            </w:r>
          </w:p>
        </w:tc>
      </w:tr>
    </w:tbl>
    <w:p w14:paraId="40056A87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29" w:name="_Toc236510167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6.2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真实运行界面</w:t>
      </w:r>
      <w:bookmarkEnd w:id="29"/>
    </w:p>
    <w:p w14:paraId="2AD49862" w14:textId="77777777" w:rsidR="00C46165" w:rsidRPr="001E4F95" w:rsidRDefault="00000000">
      <w:pPr>
        <w:spacing w:after="40"/>
        <w:rPr>
          <w:color w:val="000000" w:themeColor="text1"/>
        </w:rPr>
      </w:pPr>
      <w:r w:rsidRPr="001E4F95">
        <w:rPr>
          <w:rFonts w:cs="Times New Roman"/>
          <w:b/>
          <w:color w:val="000000" w:themeColor="text1"/>
          <w:lang w:eastAsia="zh-CN"/>
        </w:rPr>
        <w:t>以下截图</w:t>
      </w:r>
      <w:r w:rsidRPr="001E4F95">
        <w:rPr>
          <w:rFonts w:cs="Times New Roman"/>
          <w:color w:val="000000" w:themeColor="text1"/>
          <w:lang w:eastAsia="zh-CN"/>
        </w:rPr>
        <w:t>由本项目当前前后端在本地启动后自动抓取，能够证明原型界面和主要功能入口可运行。页面保留</w:t>
      </w:r>
      <w:r w:rsidRPr="001E4F95">
        <w:rPr>
          <w:rFonts w:cs="Times New Roman"/>
          <w:color w:val="000000" w:themeColor="text1"/>
          <w:lang w:eastAsia="zh-CN"/>
        </w:rPr>
        <w:t>“</w:t>
      </w:r>
      <w:r w:rsidRPr="001E4F95">
        <w:rPr>
          <w:rFonts w:cs="Times New Roman"/>
          <w:color w:val="000000" w:themeColor="text1"/>
          <w:lang w:eastAsia="zh-CN"/>
        </w:rPr>
        <w:t>真实数据优先、演示保留可用</w:t>
      </w:r>
      <w:r w:rsidRPr="001E4F95">
        <w:rPr>
          <w:rFonts w:cs="Times New Roman"/>
          <w:color w:val="000000" w:themeColor="text1"/>
          <w:lang w:eastAsia="zh-CN"/>
        </w:rPr>
        <w:t>”</w:t>
      </w:r>
      <w:r w:rsidRPr="001E4F95">
        <w:rPr>
          <w:rFonts w:cs="Times New Roman"/>
          <w:color w:val="000000" w:themeColor="text1"/>
          <w:lang w:eastAsia="zh-CN"/>
        </w:rPr>
        <w:t>的提示，因此截图只用于说明系统实现，不作为独立的数据证据。</w:t>
      </w:r>
      <w:r w:rsidRPr="001E4F95">
        <w:rPr>
          <w:rFonts w:cs="Times New Roman"/>
          <w:color w:val="000000" w:themeColor="text1"/>
        </w:rPr>
        <w:t>正文实证数字仍以正式重跑文件为准。</w:t>
      </w:r>
    </w:p>
    <w:p w14:paraId="38E6AB30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drawing>
          <wp:inline distT="0" distB="0" distL="0" distR="0" wp14:anchorId="6D6AB1E8" wp14:editId="313809FE">
            <wp:extent cx="5544000" cy="346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监测驾驶舱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2423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6-2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统计监测驾驶舱运行界面</w:t>
      </w:r>
    </w:p>
    <w:p w14:paraId="78710211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sz w:val="18"/>
          <w:lang w:eastAsia="zh-CN"/>
        </w:rPr>
        <w:t>资料来源：</w:t>
      </w:r>
      <w:r w:rsidRPr="001E4F95">
        <w:rPr>
          <w:rFonts w:cs="Times New Roman"/>
          <w:color w:val="000000" w:themeColor="text1"/>
          <w:sz w:val="18"/>
          <w:lang w:eastAsia="zh-CN"/>
        </w:rPr>
        <w:t>2026</w:t>
      </w:r>
      <w:r w:rsidRPr="001E4F95">
        <w:rPr>
          <w:rFonts w:cs="Times New Roman"/>
          <w:color w:val="000000" w:themeColor="text1"/>
          <w:sz w:val="18"/>
          <w:lang w:eastAsia="zh-CN"/>
        </w:rPr>
        <w:t>年</w:t>
      </w:r>
      <w:r w:rsidRPr="001E4F95">
        <w:rPr>
          <w:rFonts w:cs="Times New Roman"/>
          <w:color w:val="000000" w:themeColor="text1"/>
          <w:sz w:val="18"/>
          <w:lang w:eastAsia="zh-CN"/>
        </w:rPr>
        <w:t>8</w:t>
      </w:r>
      <w:r w:rsidRPr="001E4F95">
        <w:rPr>
          <w:rFonts w:cs="Times New Roman"/>
          <w:color w:val="000000" w:themeColor="text1"/>
          <w:sz w:val="18"/>
          <w:lang w:eastAsia="zh-CN"/>
        </w:rPr>
        <w:t>月</w:t>
      </w:r>
      <w:r w:rsidRPr="001E4F95">
        <w:rPr>
          <w:rFonts w:cs="Times New Roman"/>
          <w:color w:val="000000" w:themeColor="text1"/>
          <w:sz w:val="18"/>
          <w:lang w:eastAsia="zh-CN"/>
        </w:rPr>
        <w:t>1</w:t>
      </w:r>
      <w:r w:rsidRPr="001E4F95">
        <w:rPr>
          <w:rFonts w:cs="Times New Roman"/>
          <w:color w:val="000000" w:themeColor="text1"/>
          <w:sz w:val="18"/>
          <w:lang w:eastAsia="zh-CN"/>
        </w:rPr>
        <w:t>日本地运行截图；页面数据模式以界面标识为准。</w:t>
      </w:r>
    </w:p>
    <w:p w14:paraId="22693E96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4DE420BA" wp14:editId="43C8560A">
            <wp:extent cx="5544000" cy="3465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企业识别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D670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6-3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企业单条与批量识别运行界面</w:t>
      </w:r>
    </w:p>
    <w:p w14:paraId="2E394747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sz w:val="18"/>
          <w:lang w:eastAsia="zh-CN"/>
        </w:rPr>
        <w:t>资料来源：</w:t>
      </w:r>
      <w:r w:rsidRPr="001E4F95">
        <w:rPr>
          <w:rFonts w:cs="Times New Roman"/>
          <w:color w:val="000000" w:themeColor="text1"/>
          <w:sz w:val="18"/>
          <w:lang w:eastAsia="zh-CN"/>
        </w:rPr>
        <w:t>2026</w:t>
      </w:r>
      <w:r w:rsidRPr="001E4F95">
        <w:rPr>
          <w:rFonts w:cs="Times New Roman"/>
          <w:color w:val="000000" w:themeColor="text1"/>
          <w:sz w:val="18"/>
          <w:lang w:eastAsia="zh-CN"/>
        </w:rPr>
        <w:t>年</w:t>
      </w:r>
      <w:r w:rsidRPr="001E4F95">
        <w:rPr>
          <w:rFonts w:cs="Times New Roman"/>
          <w:color w:val="000000" w:themeColor="text1"/>
          <w:sz w:val="18"/>
          <w:lang w:eastAsia="zh-CN"/>
        </w:rPr>
        <w:t>8</w:t>
      </w:r>
      <w:r w:rsidRPr="001E4F95">
        <w:rPr>
          <w:rFonts w:cs="Times New Roman"/>
          <w:color w:val="000000" w:themeColor="text1"/>
          <w:sz w:val="18"/>
          <w:lang w:eastAsia="zh-CN"/>
        </w:rPr>
        <w:t>月</w:t>
      </w:r>
      <w:r w:rsidRPr="001E4F95">
        <w:rPr>
          <w:rFonts w:cs="Times New Roman"/>
          <w:color w:val="000000" w:themeColor="text1"/>
          <w:sz w:val="18"/>
          <w:lang w:eastAsia="zh-CN"/>
        </w:rPr>
        <w:t>1</w:t>
      </w:r>
      <w:r w:rsidRPr="001E4F95">
        <w:rPr>
          <w:rFonts w:cs="Times New Roman"/>
          <w:color w:val="000000" w:themeColor="text1"/>
          <w:sz w:val="18"/>
          <w:lang w:eastAsia="zh-CN"/>
        </w:rPr>
        <w:t>日本地运行截图。</w:t>
      </w:r>
    </w:p>
    <w:p w14:paraId="6670384C" w14:textId="77777777" w:rsidR="00C46165" w:rsidRPr="001E4F95" w:rsidRDefault="00000000">
      <w:pPr>
        <w:keepNext/>
        <w:spacing w:before="8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noProof/>
          <w:color w:val="000000" w:themeColor="text1"/>
        </w:rPr>
        <w:drawing>
          <wp:inline distT="0" distB="0" distL="0" distR="0" wp14:anchorId="779988A2" wp14:editId="581BA83C">
            <wp:extent cx="5544000" cy="3465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模型评估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4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9CB7" w14:textId="77777777" w:rsidR="00C46165" w:rsidRPr="001E4F95" w:rsidRDefault="00000000">
      <w:pPr>
        <w:keepNext/>
        <w:spacing w:before="80" w:after="2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图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6-4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模型评估页面的证据约束状态</w:t>
      </w:r>
    </w:p>
    <w:p w14:paraId="1C8501E8" w14:textId="77777777" w:rsidR="00C46165" w:rsidRPr="001E4F95" w:rsidRDefault="00000000">
      <w:pPr>
        <w:spacing w:after="10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sz w:val="18"/>
          <w:lang w:eastAsia="zh-CN"/>
        </w:rPr>
        <w:t>资料来源：</w:t>
      </w:r>
      <w:r w:rsidRPr="001E4F95">
        <w:rPr>
          <w:rFonts w:cs="Times New Roman"/>
          <w:color w:val="000000" w:themeColor="text1"/>
          <w:sz w:val="18"/>
          <w:lang w:eastAsia="zh-CN"/>
        </w:rPr>
        <w:t>2026</w:t>
      </w:r>
      <w:r w:rsidRPr="001E4F95">
        <w:rPr>
          <w:rFonts w:cs="Times New Roman"/>
          <w:color w:val="000000" w:themeColor="text1"/>
          <w:sz w:val="18"/>
          <w:lang w:eastAsia="zh-CN"/>
        </w:rPr>
        <w:t>年</w:t>
      </w:r>
      <w:r w:rsidRPr="001E4F95">
        <w:rPr>
          <w:rFonts w:cs="Times New Roman"/>
          <w:color w:val="000000" w:themeColor="text1"/>
          <w:sz w:val="18"/>
          <w:lang w:eastAsia="zh-CN"/>
        </w:rPr>
        <w:t>8</w:t>
      </w:r>
      <w:r w:rsidRPr="001E4F95">
        <w:rPr>
          <w:rFonts w:cs="Times New Roman"/>
          <w:color w:val="000000" w:themeColor="text1"/>
          <w:sz w:val="18"/>
          <w:lang w:eastAsia="zh-CN"/>
        </w:rPr>
        <w:t>月</w:t>
      </w:r>
      <w:r w:rsidRPr="001E4F95">
        <w:rPr>
          <w:rFonts w:cs="Times New Roman"/>
          <w:color w:val="000000" w:themeColor="text1"/>
          <w:sz w:val="18"/>
          <w:lang w:eastAsia="zh-CN"/>
        </w:rPr>
        <w:t>1</w:t>
      </w:r>
      <w:r w:rsidRPr="001E4F95">
        <w:rPr>
          <w:rFonts w:cs="Times New Roman"/>
          <w:color w:val="000000" w:themeColor="text1"/>
          <w:sz w:val="18"/>
          <w:lang w:eastAsia="zh-CN"/>
        </w:rPr>
        <w:t>日本地运行截图；当前正式批次未生成监督评估结果，因此页面不展示虚构指标。</w:t>
      </w:r>
    </w:p>
    <w:p w14:paraId="35A6EAA3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30" w:name="_Toc236510168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 xml:space="preserve">6.3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统计业务落地流程</w:t>
      </w:r>
      <w:bookmarkEnd w:id="30"/>
    </w:p>
    <w:p w14:paraId="5F844262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建议将系统嵌入</w:t>
      </w:r>
      <w:r w:rsidRPr="001E4F95">
        <w:rPr>
          <w:rFonts w:cs="Times New Roman"/>
          <w:color w:val="000000" w:themeColor="text1"/>
          <w:lang w:eastAsia="zh-CN"/>
        </w:rPr>
        <w:t>“</w:t>
      </w:r>
      <w:r w:rsidRPr="001E4F95">
        <w:rPr>
          <w:rFonts w:cs="Times New Roman"/>
          <w:color w:val="000000" w:themeColor="text1"/>
          <w:lang w:eastAsia="zh-CN"/>
        </w:rPr>
        <w:t>机器初筛</w:t>
      </w:r>
      <w:r w:rsidRPr="001E4F95">
        <w:rPr>
          <w:rFonts w:cs="Times New Roman"/>
          <w:color w:val="000000" w:themeColor="text1"/>
          <w:lang w:eastAsia="zh-CN"/>
        </w:rPr>
        <w:t>—</w:t>
      </w:r>
      <w:r w:rsidRPr="001E4F95">
        <w:rPr>
          <w:rFonts w:cs="Times New Roman"/>
          <w:color w:val="000000" w:themeColor="text1"/>
          <w:lang w:eastAsia="zh-CN"/>
        </w:rPr>
        <w:t>业务复核</w:t>
      </w:r>
      <w:r w:rsidRPr="001E4F95">
        <w:rPr>
          <w:rFonts w:cs="Times New Roman"/>
          <w:color w:val="000000" w:themeColor="text1"/>
          <w:lang w:eastAsia="zh-CN"/>
        </w:rPr>
        <w:t>—</w:t>
      </w:r>
      <w:r w:rsidRPr="001E4F95">
        <w:rPr>
          <w:rFonts w:cs="Times New Roman"/>
          <w:color w:val="000000" w:themeColor="text1"/>
          <w:lang w:eastAsia="zh-CN"/>
        </w:rPr>
        <w:t>名录回接</w:t>
      </w:r>
      <w:r w:rsidRPr="001E4F95">
        <w:rPr>
          <w:rFonts w:cs="Times New Roman"/>
          <w:color w:val="000000" w:themeColor="text1"/>
          <w:lang w:eastAsia="zh-CN"/>
        </w:rPr>
        <w:t>—</w:t>
      </w:r>
      <w:r w:rsidRPr="001E4F95">
        <w:rPr>
          <w:rFonts w:cs="Times New Roman"/>
          <w:color w:val="000000" w:themeColor="text1"/>
          <w:lang w:eastAsia="zh-CN"/>
        </w:rPr>
        <w:t>定期更新</w:t>
      </w:r>
      <w:r w:rsidRPr="001E4F95">
        <w:rPr>
          <w:rFonts w:cs="Times New Roman"/>
          <w:color w:val="000000" w:themeColor="text1"/>
          <w:lang w:eastAsia="zh-CN"/>
        </w:rPr>
        <w:t>”</w:t>
      </w:r>
      <w:r w:rsidRPr="001E4F95">
        <w:rPr>
          <w:rFonts w:cs="Times New Roman"/>
          <w:color w:val="000000" w:themeColor="text1"/>
          <w:lang w:eastAsia="zh-CN"/>
        </w:rPr>
        <w:t>的统计流程。机器初筛负责生成候选企业、业务线证据和相对比重；业务人员对边界样本和高影响企业复核；确认结果回接统计名录；词典、规则和批次记录随新业态持续更新。</w:t>
      </w:r>
    </w:p>
    <w:p w14:paraId="6FF39B44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对外发布前应设置三道闸门：数据版本冻结，人工抽样复核，指标含义审签。任何金额化结果都必须接入真实营收或增加值，并记录价格口径、核算期间和缺失值处理。</w:t>
      </w:r>
    </w:p>
    <w:p w14:paraId="6F986E98" w14:textId="77777777" w:rsidR="00C46165" w:rsidRPr="001E4F95" w:rsidRDefault="00000000">
      <w:pPr>
        <w:pStyle w:val="1"/>
        <w:rPr>
          <w:color w:val="000000" w:themeColor="text1"/>
          <w:lang w:eastAsia="zh-CN"/>
        </w:rPr>
      </w:pPr>
      <w:bookmarkStart w:id="31" w:name="_Toc236510169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第七章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应用价值、政策建议与局限</w:t>
      </w:r>
      <w:bookmarkEnd w:id="31"/>
    </w:p>
    <w:p w14:paraId="45D7B6D4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32" w:name="_Toc236510170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7.1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可确认的应用价值</w:t>
      </w:r>
      <w:bookmarkEnd w:id="32"/>
    </w:p>
    <w:p w14:paraId="7F8DB55C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第一，系统能够将文本证据转化为可复核的候选名录。本批次相对传统代码法新增</w:t>
      </w:r>
      <w:r w:rsidRPr="001E4F95">
        <w:rPr>
          <w:rFonts w:cs="Times New Roman"/>
          <w:color w:val="000000" w:themeColor="text1"/>
          <w:lang w:eastAsia="zh-CN"/>
        </w:rPr>
        <w:t>934</w:t>
      </w:r>
      <w:r w:rsidRPr="001E4F95">
        <w:rPr>
          <w:rFonts w:cs="Times New Roman"/>
          <w:color w:val="000000" w:themeColor="text1"/>
          <w:lang w:eastAsia="zh-CN"/>
        </w:rPr>
        <w:t>家体育相关候选企业，其中跨界标记可帮助统计人员集中核验高遗漏风险对象。</w:t>
      </w:r>
    </w:p>
    <w:p w14:paraId="7A737C29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第二，系统能够统一保存企业级证据和批次信息。相比只留汇总表，明细化证据链更适合处理规则调整、企业申诉和历史追溯。</w:t>
      </w:r>
    </w:p>
    <w:p w14:paraId="3B6F26E8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第三，系统能够在缺少财务数据时提供相对结构视图。业态份额、跨界率和区域集中度可以支持抽样设计、名录维护和调研资源排序，但不能代替官方总量核算。</w:t>
      </w:r>
    </w:p>
    <w:p w14:paraId="32346F6B" w14:textId="77777777" w:rsidR="00C46165" w:rsidRPr="001E4F95" w:rsidRDefault="00000000">
      <w:pPr>
        <w:pStyle w:val="21"/>
        <w:rPr>
          <w:color w:val="000000" w:themeColor="text1"/>
        </w:rPr>
      </w:pPr>
      <w:bookmarkStart w:id="33" w:name="_Toc236510171"/>
      <w:r w:rsidRPr="001E4F95">
        <w:rPr>
          <w:rFonts w:ascii="Times New Roman" w:eastAsia="宋体" w:hAnsi="Times New Roman" w:cs="Times New Roman"/>
          <w:color w:val="000000" w:themeColor="text1"/>
        </w:rPr>
        <w:t xml:space="preserve">7.2 </w:t>
      </w:r>
      <w:r w:rsidRPr="001E4F95">
        <w:rPr>
          <w:rFonts w:ascii="Times New Roman" w:eastAsia="宋体" w:hAnsi="Times New Roman" w:cs="Times New Roman"/>
          <w:color w:val="000000" w:themeColor="text1"/>
        </w:rPr>
        <w:t>面向不同主体的使用方式</w:t>
      </w:r>
      <w:bookmarkEnd w:id="33"/>
    </w:p>
    <w:p w14:paraId="20A32D3F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sz w:val="21"/>
          <w:lang w:eastAsia="zh-CN"/>
        </w:rPr>
        <w:t>表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 xml:space="preserve">7-1  </w:t>
      </w:r>
      <w:r w:rsidRPr="001E4F95">
        <w:rPr>
          <w:rFonts w:cs="Times New Roman"/>
          <w:b/>
          <w:color w:val="000000" w:themeColor="text1"/>
          <w:sz w:val="21"/>
          <w:lang w:eastAsia="zh-CN"/>
        </w:rPr>
        <w:t>多主体应用场景与边界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1587"/>
        <w:gridCol w:w="3402"/>
        <w:gridCol w:w="3402"/>
      </w:tblGrid>
      <w:tr w:rsidR="00C46165" w:rsidRPr="001E4F95" w14:paraId="24F05197" w14:textId="77777777">
        <w:trPr>
          <w:jc w:val="center"/>
        </w:trPr>
        <w:tc>
          <w:tcPr>
            <w:tcW w:w="1587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B8767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主体</w:t>
            </w:r>
          </w:p>
        </w:tc>
        <w:tc>
          <w:tcPr>
            <w:tcW w:w="3402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65920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可直接使用</w:t>
            </w:r>
          </w:p>
        </w:tc>
        <w:tc>
          <w:tcPr>
            <w:tcW w:w="3402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6113E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必须补充</w:t>
            </w:r>
          </w:p>
        </w:tc>
      </w:tr>
      <w:tr w:rsidR="00C46165" w:rsidRPr="001E4F95" w14:paraId="1F45ACBC" w14:textId="77777777">
        <w:trPr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76CE12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统计部门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C559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候选名录、证据明细、抽样复核排序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B6B06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人工金标准、正式分类映射和财务核算数据</w:t>
            </w:r>
          </w:p>
        </w:tc>
      </w:tr>
      <w:tr w:rsidR="00C46165" w:rsidRPr="001E4F95" w14:paraId="4340194E" w14:textId="77777777">
        <w:trPr>
          <w:jc w:val="center"/>
        </w:trPr>
        <w:tc>
          <w:tcPr>
            <w:tcW w:w="158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05CD2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体育主管部门</w:t>
            </w:r>
          </w:p>
        </w:tc>
        <w:tc>
          <w:tcPr>
            <w:tcW w:w="3402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F5CAC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业态结构、跨界线索和区域调研清单</w:t>
            </w:r>
          </w:p>
        </w:tc>
        <w:tc>
          <w:tcPr>
            <w:tcW w:w="3402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193C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企业实际经营核验与政策对象资格审核</w:t>
            </w:r>
          </w:p>
        </w:tc>
      </w:tr>
      <w:tr w:rsidR="00C46165" w:rsidRPr="001E4F95" w14:paraId="2BBDE3FB" w14:textId="77777777">
        <w:trPr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7ACAA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园区或协会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7BBB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产业链主体发现与会员服务线索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A3487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企业授权、动态经营信息和合规审查</w:t>
            </w:r>
          </w:p>
        </w:tc>
      </w:tr>
      <w:tr w:rsidR="00C46165" w:rsidRPr="001E4F95" w14:paraId="4984B541" w14:textId="77777777">
        <w:trPr>
          <w:jc w:val="center"/>
        </w:trPr>
        <w:tc>
          <w:tcPr>
            <w:tcW w:w="1587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FCBDB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研究机构</w:t>
            </w:r>
          </w:p>
        </w:tc>
        <w:tc>
          <w:tcPr>
            <w:tcW w:w="3402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C68D3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规则基线、复现实验和误差分析框架</w:t>
            </w:r>
          </w:p>
        </w:tc>
        <w:tc>
          <w:tcPr>
            <w:tcW w:w="3402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6E3F7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多期数据、外部样本与标注数据</w:t>
            </w:r>
          </w:p>
        </w:tc>
      </w:tr>
      <w:tr w:rsidR="00C46165" w:rsidRPr="001E4F95" w14:paraId="11D69FF8" w14:textId="77777777">
        <w:trPr>
          <w:jc w:val="center"/>
        </w:trPr>
        <w:tc>
          <w:tcPr>
            <w:tcW w:w="158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2A6B57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企业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48B3A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自身业务描述规范化和同类比较参考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DE066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不得将系统分数用于信用或行政认定</w:t>
            </w:r>
          </w:p>
        </w:tc>
      </w:tr>
    </w:tbl>
    <w:p w14:paraId="71C3AAAF" w14:textId="77777777" w:rsidR="00C46165" w:rsidRPr="001E4F95" w:rsidRDefault="00000000">
      <w:pPr>
        <w:pStyle w:val="21"/>
        <w:rPr>
          <w:color w:val="000000" w:themeColor="text1"/>
        </w:rPr>
      </w:pPr>
      <w:bookmarkStart w:id="34" w:name="_Toc236510172"/>
      <w:r w:rsidRPr="001E4F95">
        <w:rPr>
          <w:rFonts w:ascii="Times New Roman" w:eastAsia="宋体" w:hAnsi="Times New Roman" w:cs="Times New Roman"/>
          <w:color w:val="000000" w:themeColor="text1"/>
        </w:rPr>
        <w:t xml:space="preserve">7.3 </w:t>
      </w:r>
      <w:r w:rsidRPr="001E4F95">
        <w:rPr>
          <w:rFonts w:ascii="Times New Roman" w:eastAsia="宋体" w:hAnsi="Times New Roman" w:cs="Times New Roman"/>
          <w:color w:val="000000" w:themeColor="text1"/>
        </w:rPr>
        <w:t>政策与实施建议</w:t>
      </w:r>
      <w:bookmarkEnd w:id="34"/>
    </w:p>
    <w:p w14:paraId="7A77E140" w14:textId="77777777" w:rsidR="00C46165" w:rsidRPr="001E4F95" w:rsidRDefault="00000000">
      <w:pPr>
        <w:pStyle w:val="a0"/>
        <w:spacing w:after="40"/>
        <w:ind w:left="40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建立分层复核样本。</w:t>
      </w:r>
      <w:r w:rsidRPr="001E4F95">
        <w:rPr>
          <w:rFonts w:cs="Times New Roman"/>
          <w:color w:val="000000" w:themeColor="text1"/>
          <w:lang w:eastAsia="zh-CN"/>
        </w:rPr>
        <w:t>按代码类型、</w:t>
      </w:r>
      <w:r w:rsidRPr="001E4F95">
        <w:rPr>
          <w:rFonts w:cs="Times New Roman"/>
          <w:color w:val="000000" w:themeColor="text1"/>
          <w:lang w:eastAsia="zh-CN"/>
        </w:rPr>
        <w:t>SportRatio</w:t>
      </w:r>
      <w:r w:rsidRPr="001E4F95">
        <w:rPr>
          <w:rFonts w:cs="Times New Roman"/>
          <w:color w:val="000000" w:themeColor="text1"/>
          <w:lang w:eastAsia="zh-CN"/>
        </w:rPr>
        <w:t>区间、业态和区域分层抽取样本，至少由两名业务人员独立标注，并保存分歧处置记录。</w:t>
      </w:r>
    </w:p>
    <w:p w14:paraId="640940D2" w14:textId="77777777" w:rsidR="00C46165" w:rsidRPr="001E4F95" w:rsidRDefault="00000000">
      <w:pPr>
        <w:pStyle w:val="a0"/>
        <w:spacing w:after="40"/>
        <w:ind w:left="40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建设动态词典治理机制。</w:t>
      </w:r>
      <w:r w:rsidRPr="001E4F95">
        <w:rPr>
          <w:rFonts w:cs="Times New Roman"/>
          <w:color w:val="000000" w:themeColor="text1"/>
          <w:lang w:eastAsia="zh-CN"/>
        </w:rPr>
        <w:t>新增词条应记录来源、适用业态、启用时间和退役原因，避免词典扩张造成不可解释的口径漂移。</w:t>
      </w:r>
    </w:p>
    <w:p w14:paraId="520899C5" w14:textId="77777777" w:rsidR="00C46165" w:rsidRPr="001E4F95" w:rsidRDefault="00000000">
      <w:pPr>
        <w:pStyle w:val="a0"/>
        <w:spacing w:after="40"/>
        <w:ind w:left="40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lastRenderedPageBreak/>
        <w:t>回接标准地址与正式分类。</w:t>
      </w:r>
      <w:r w:rsidRPr="001E4F95">
        <w:rPr>
          <w:rFonts w:cs="Times New Roman"/>
          <w:color w:val="000000" w:themeColor="text1"/>
          <w:lang w:eastAsia="zh-CN"/>
        </w:rPr>
        <w:t>区域统计使用注册地址或标准地理编码；操作性九业态通过映射表对接体育产业统计分类（</w:t>
      </w:r>
      <w:r w:rsidRPr="001E4F95">
        <w:rPr>
          <w:rFonts w:cs="Times New Roman"/>
          <w:color w:val="000000" w:themeColor="text1"/>
          <w:lang w:eastAsia="zh-CN"/>
        </w:rPr>
        <w:t>2019</w:t>
      </w:r>
      <w:r w:rsidRPr="001E4F95">
        <w:rPr>
          <w:rFonts w:cs="Times New Roman"/>
          <w:color w:val="000000" w:themeColor="text1"/>
          <w:lang w:eastAsia="zh-CN"/>
        </w:rPr>
        <w:t>）。</w:t>
      </w:r>
    </w:p>
    <w:p w14:paraId="2F000078" w14:textId="77777777" w:rsidR="00C46165" w:rsidRPr="001E4F95" w:rsidRDefault="00000000">
      <w:pPr>
        <w:pStyle w:val="a0"/>
        <w:spacing w:after="40"/>
        <w:ind w:left="40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以真实财务数据校准规模。</w:t>
      </w:r>
      <w:r w:rsidRPr="001E4F95">
        <w:rPr>
          <w:rFonts w:cs="Times New Roman"/>
          <w:color w:val="000000" w:themeColor="text1"/>
          <w:lang w:eastAsia="zh-CN"/>
        </w:rPr>
        <w:t>在企业授权和数据安全框架内接入分业务营收、增加值或税务数据，检验</w:t>
      </w:r>
      <w:r w:rsidRPr="001E4F95">
        <w:rPr>
          <w:rFonts w:cs="Times New Roman"/>
          <w:color w:val="000000" w:themeColor="text1"/>
          <w:lang w:eastAsia="zh-CN"/>
        </w:rPr>
        <w:t>SportRatio</w:t>
      </w:r>
      <w:r w:rsidRPr="001E4F95">
        <w:rPr>
          <w:rFonts w:cs="Times New Roman"/>
          <w:color w:val="000000" w:themeColor="text1"/>
          <w:lang w:eastAsia="zh-CN"/>
        </w:rPr>
        <w:t>与真实业务权重的关系。</w:t>
      </w:r>
    </w:p>
    <w:p w14:paraId="2E1ED6A2" w14:textId="77777777" w:rsidR="00C46165" w:rsidRPr="001E4F95" w:rsidRDefault="00000000">
      <w:pPr>
        <w:pStyle w:val="a0"/>
        <w:spacing w:after="40"/>
        <w:ind w:left="400"/>
        <w:rPr>
          <w:color w:val="000000" w:themeColor="text1"/>
          <w:lang w:eastAsia="zh-CN"/>
        </w:rPr>
      </w:pPr>
      <w:r w:rsidRPr="001E4F95">
        <w:rPr>
          <w:rFonts w:cs="Times New Roman"/>
          <w:b/>
          <w:color w:val="000000" w:themeColor="text1"/>
          <w:lang w:eastAsia="zh-CN"/>
        </w:rPr>
        <w:t>固化版本与审签制度。</w:t>
      </w:r>
      <w:r w:rsidRPr="001E4F95">
        <w:rPr>
          <w:rFonts w:cs="Times New Roman"/>
          <w:color w:val="000000" w:themeColor="text1"/>
          <w:lang w:eastAsia="zh-CN"/>
        </w:rPr>
        <w:t>每次发布同步保存数据哈希、代码版本、参数、规则词典和审签人，确保同一结果可以重算。</w:t>
      </w:r>
    </w:p>
    <w:p w14:paraId="701CD2ED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35" w:name="_Toc236510173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7.4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局限性</w:t>
      </w:r>
      <w:bookmarkEnd w:id="35"/>
    </w:p>
    <w:p w14:paraId="1CD4B247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数据局限：样本为单一时点的企业登记信息，不能形成可靠趋势；主要业务活动可能滞后于真实经营；区域由名称字符串抽取。</w:t>
      </w:r>
    </w:p>
    <w:p w14:paraId="26C82217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方法局限：当前系统采用词典和规则融合，不能充分理解隐喻、否定或复杂上下文；四项组合权重由工程经验设定，尚无财务真值校准。</w:t>
      </w:r>
    </w:p>
    <w:p w14:paraId="66D08D17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验证局限：工作区缺少逐条人工金标准、标注者一致性记录和外部测试集。因此，本文只能验证数据一致性、规则覆盖变化和内部可复算性，不能证明统计分类准确率。</w:t>
      </w:r>
    </w:p>
    <w:p w14:paraId="69C1A928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应用局限：相对产出指数不是货币指标，不能直接进入</w:t>
      </w:r>
      <w:r w:rsidRPr="001E4F95">
        <w:rPr>
          <w:rFonts w:cs="Times New Roman"/>
          <w:color w:val="000000" w:themeColor="text1"/>
          <w:lang w:eastAsia="zh-CN"/>
        </w:rPr>
        <w:t>GDP</w:t>
      </w:r>
      <w:r w:rsidRPr="001E4F95">
        <w:rPr>
          <w:rFonts w:cs="Times New Roman"/>
          <w:color w:val="000000" w:themeColor="text1"/>
          <w:lang w:eastAsia="zh-CN"/>
        </w:rPr>
        <w:t>、产业增加值或经济效益核算。系统原型保留演示回退，正式部署应关闭演示数据并启用权限、日志和审签机制。</w:t>
      </w:r>
    </w:p>
    <w:p w14:paraId="458362C2" w14:textId="77777777" w:rsidR="00C46165" w:rsidRPr="001E4F95" w:rsidRDefault="00000000">
      <w:pPr>
        <w:pStyle w:val="1"/>
        <w:rPr>
          <w:color w:val="000000" w:themeColor="text1"/>
          <w:lang w:eastAsia="zh-CN"/>
        </w:rPr>
      </w:pPr>
      <w:bookmarkStart w:id="36" w:name="_Toc236510174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第八章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 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结论与展望</w:t>
      </w:r>
      <w:bookmarkEnd w:id="36"/>
    </w:p>
    <w:p w14:paraId="5C7096A6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37" w:name="_Toc236510175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8.1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主要结论</w:t>
      </w:r>
      <w:bookmarkEnd w:id="37"/>
    </w:p>
    <w:p w14:paraId="665046E7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第一，文本</w:t>
      </w:r>
      <w:r w:rsidRPr="001E4F95">
        <w:rPr>
          <w:rFonts w:cs="Times New Roman"/>
          <w:color w:val="000000" w:themeColor="text1"/>
          <w:lang w:eastAsia="zh-CN"/>
        </w:rPr>
        <w:t>—</w:t>
      </w:r>
      <w:r w:rsidRPr="001E4F95">
        <w:rPr>
          <w:rFonts w:cs="Times New Roman"/>
          <w:color w:val="000000" w:themeColor="text1"/>
          <w:lang w:eastAsia="zh-CN"/>
        </w:rPr>
        <w:t>代码融合规则在同一</w:t>
      </w:r>
      <w:r w:rsidRPr="001E4F95">
        <w:rPr>
          <w:rFonts w:cs="Times New Roman"/>
          <w:color w:val="000000" w:themeColor="text1"/>
          <w:lang w:eastAsia="zh-CN"/>
        </w:rPr>
        <w:t>76,687</w:t>
      </w:r>
      <w:r w:rsidRPr="001E4F95">
        <w:rPr>
          <w:rFonts w:cs="Times New Roman"/>
          <w:color w:val="000000" w:themeColor="text1"/>
          <w:lang w:eastAsia="zh-CN"/>
        </w:rPr>
        <w:t>家企业样本上识别</w:t>
      </w:r>
      <w:r w:rsidRPr="001E4F95">
        <w:rPr>
          <w:rFonts w:cs="Times New Roman"/>
          <w:color w:val="000000" w:themeColor="text1"/>
          <w:lang w:eastAsia="zh-CN"/>
        </w:rPr>
        <w:t>8,950</w:t>
      </w:r>
      <w:r w:rsidRPr="001E4F95">
        <w:rPr>
          <w:rFonts w:cs="Times New Roman"/>
          <w:color w:val="000000" w:themeColor="text1"/>
          <w:lang w:eastAsia="zh-CN"/>
        </w:rPr>
        <w:t>家体育相关企业，比传统直接行业代码法增加</w:t>
      </w:r>
      <w:r w:rsidRPr="001E4F95">
        <w:rPr>
          <w:rFonts w:cs="Times New Roman"/>
          <w:color w:val="000000" w:themeColor="text1"/>
          <w:lang w:eastAsia="zh-CN"/>
        </w:rPr>
        <w:t>934</w:t>
      </w:r>
      <w:r w:rsidRPr="001E4F95">
        <w:rPr>
          <w:rFonts w:cs="Times New Roman"/>
          <w:color w:val="000000" w:themeColor="text1"/>
          <w:lang w:eastAsia="zh-CN"/>
        </w:rPr>
        <w:t>家，识别数量相对增加</w:t>
      </w:r>
      <w:r w:rsidRPr="001E4F95">
        <w:rPr>
          <w:rFonts w:cs="Times New Roman"/>
          <w:color w:val="000000" w:themeColor="text1"/>
          <w:lang w:eastAsia="zh-CN"/>
        </w:rPr>
        <w:t>11.65%</w:t>
      </w:r>
      <w:r w:rsidRPr="001E4F95">
        <w:rPr>
          <w:rFonts w:cs="Times New Roman"/>
          <w:color w:val="000000" w:themeColor="text1"/>
          <w:lang w:eastAsia="zh-CN"/>
        </w:rPr>
        <w:t>。该结果证明文本字段能够拓展候选识别范围，但不等同于准确率提升。</w:t>
      </w:r>
    </w:p>
    <w:p w14:paraId="30BCFBA3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第二，</w:t>
      </w:r>
      <w:r w:rsidRPr="001E4F95">
        <w:rPr>
          <w:rFonts w:cs="Times New Roman"/>
          <w:color w:val="000000" w:themeColor="text1"/>
          <w:lang w:eastAsia="zh-CN"/>
        </w:rPr>
        <w:t>SportRatio</w:t>
      </w:r>
      <w:r w:rsidRPr="001E4F95">
        <w:rPr>
          <w:rFonts w:cs="Times New Roman"/>
          <w:color w:val="000000" w:themeColor="text1"/>
          <w:lang w:eastAsia="zh-CN"/>
        </w:rPr>
        <w:t>为多元经营企业提供连续的相对业务比重代理值。体育企业平均值为</w:t>
      </w:r>
      <w:r w:rsidRPr="001E4F95">
        <w:rPr>
          <w:rFonts w:cs="Times New Roman"/>
          <w:color w:val="000000" w:themeColor="text1"/>
          <w:lang w:eastAsia="zh-CN"/>
        </w:rPr>
        <w:t>64.71%</w:t>
      </w:r>
      <w:r w:rsidRPr="001E4F95">
        <w:rPr>
          <w:rFonts w:cs="Times New Roman"/>
          <w:color w:val="000000" w:themeColor="text1"/>
          <w:lang w:eastAsia="zh-CN"/>
        </w:rPr>
        <w:t>，汇总相对产出指数为</w:t>
      </w:r>
      <w:r w:rsidRPr="001E4F95">
        <w:rPr>
          <w:rFonts w:cs="Times New Roman"/>
          <w:color w:val="000000" w:themeColor="text1"/>
          <w:lang w:eastAsia="zh-CN"/>
        </w:rPr>
        <w:t>579,124.95</w:t>
      </w:r>
      <w:r w:rsidRPr="001E4F95">
        <w:rPr>
          <w:rFonts w:cs="Times New Roman"/>
          <w:color w:val="000000" w:themeColor="text1"/>
          <w:lang w:eastAsia="zh-CN"/>
        </w:rPr>
        <w:t>。二者均基于登记文本与规则权重，不能解释为真实营收占比或货币产业规模。</w:t>
      </w:r>
    </w:p>
    <w:p w14:paraId="5D0E6F62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第三，项目识别跨界经营企业</w:t>
      </w:r>
      <w:r w:rsidRPr="001E4F95">
        <w:rPr>
          <w:rFonts w:cs="Times New Roman"/>
          <w:color w:val="000000" w:themeColor="text1"/>
          <w:lang w:eastAsia="zh-CN"/>
        </w:rPr>
        <w:t>977</w:t>
      </w:r>
      <w:r w:rsidRPr="001E4F95">
        <w:rPr>
          <w:rFonts w:cs="Times New Roman"/>
          <w:color w:val="000000" w:themeColor="text1"/>
          <w:lang w:eastAsia="zh-CN"/>
        </w:rPr>
        <w:t>家，占体育相关企业的</w:t>
      </w:r>
      <w:r w:rsidRPr="001E4F95">
        <w:rPr>
          <w:rFonts w:cs="Times New Roman"/>
          <w:color w:val="000000" w:themeColor="text1"/>
          <w:lang w:eastAsia="zh-CN"/>
        </w:rPr>
        <w:t>10.92%</w:t>
      </w:r>
      <w:r w:rsidRPr="001E4F95">
        <w:rPr>
          <w:rFonts w:cs="Times New Roman"/>
          <w:color w:val="000000" w:themeColor="text1"/>
          <w:lang w:eastAsia="zh-CN"/>
        </w:rPr>
        <w:t>。体育赛事等业态体现较强跨界特征；电子竞技和体育传媒跨界率较高，但样本量小，结论应谨慎。</w:t>
      </w:r>
    </w:p>
    <w:p w14:paraId="0DD3F445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第四，可复算证据链与可运行原型共同提升了成果的可交付性。数据哈希、正式批次、冲突处理和结果边界均进入报告，使统计使用者能够区分事实、规则输出与待验证假设。</w:t>
      </w:r>
    </w:p>
    <w:p w14:paraId="174EC39A" w14:textId="77777777" w:rsidR="00C46165" w:rsidRPr="001E4F95" w:rsidRDefault="00000000">
      <w:pPr>
        <w:pStyle w:val="21"/>
        <w:rPr>
          <w:color w:val="000000" w:themeColor="text1"/>
          <w:lang w:eastAsia="zh-CN"/>
        </w:rPr>
      </w:pPr>
      <w:bookmarkStart w:id="38" w:name="_Toc236510176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8.2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后续工作</w:t>
      </w:r>
      <w:bookmarkEnd w:id="38"/>
    </w:p>
    <w:p w14:paraId="43B297D4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下一阶段的重点不是直接替换规则框架，而是建立可靠的校准基础。首先完成分层人工标注和双人一致性检验，再比较规则基线、传统机器学习和预训练语言模型；只有在同一外部测试集上，才能讨论模型优劣。</w:t>
      </w:r>
    </w:p>
    <w:p w14:paraId="3577724A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取得企业分业务营收或增加值后，可用真实业务权重校准</w:t>
      </w:r>
      <w:r w:rsidRPr="001E4F95">
        <w:rPr>
          <w:rFonts w:cs="Times New Roman"/>
          <w:color w:val="000000" w:themeColor="text1"/>
          <w:lang w:eastAsia="zh-CN"/>
        </w:rPr>
        <w:t>SportRatio</w:t>
      </w:r>
      <w:r w:rsidRPr="001E4F95">
        <w:rPr>
          <w:rFonts w:cs="Times New Roman"/>
          <w:color w:val="000000" w:themeColor="text1"/>
          <w:lang w:eastAsia="zh-CN"/>
        </w:rPr>
        <w:t>，并分别报告代理值误差和总量核算误差。建立多年度同口径样本后，才适合开展趋势分析和预测。</w:t>
      </w:r>
    </w:p>
    <w:p w14:paraId="4268454B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系统部署方面，应增加权限分级、操作日志、词典版本管理、数据脱敏和异常回滚；对外报告自动生成时，应强制附带批次号、数据来源、指标定义和适用边界。</w:t>
      </w:r>
    </w:p>
    <w:p w14:paraId="353721DE" w14:textId="77777777" w:rsidR="00C46165" w:rsidRPr="001E4F95" w:rsidRDefault="00000000">
      <w:pPr>
        <w:pStyle w:val="1"/>
        <w:rPr>
          <w:color w:val="000000" w:themeColor="text1"/>
          <w:lang w:eastAsia="zh-CN"/>
        </w:rPr>
      </w:pPr>
      <w:bookmarkStart w:id="39" w:name="_Toc236510177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参考文献</w:t>
      </w:r>
      <w:bookmarkEnd w:id="39"/>
    </w:p>
    <w:p w14:paraId="1F1B1067" w14:textId="77777777" w:rsidR="00C46165" w:rsidRPr="001E4F95" w:rsidRDefault="00000000">
      <w:pPr>
        <w:spacing w:after="100"/>
        <w:ind w:left="480" w:hanging="480"/>
        <w:rPr>
          <w:color w:val="000000" w:themeColor="text1"/>
        </w:rPr>
      </w:pPr>
      <w:r w:rsidRPr="001E4F95">
        <w:rPr>
          <w:rFonts w:cs="Times New Roman"/>
          <w:color w:val="000000" w:themeColor="text1"/>
          <w:lang w:eastAsia="zh-CN"/>
        </w:rPr>
        <w:t xml:space="preserve">[1] </w:t>
      </w:r>
      <w:r w:rsidRPr="001E4F95">
        <w:rPr>
          <w:rFonts w:cs="Times New Roman"/>
          <w:color w:val="000000" w:themeColor="text1"/>
          <w:lang w:eastAsia="zh-CN"/>
        </w:rPr>
        <w:t>国家市场监督管理总局、国家标准化管理委员会</w:t>
      </w:r>
      <w:r w:rsidRPr="001E4F95">
        <w:rPr>
          <w:rFonts w:cs="Times New Roman"/>
          <w:color w:val="000000" w:themeColor="text1"/>
          <w:lang w:eastAsia="zh-CN"/>
        </w:rPr>
        <w:t xml:space="preserve">. </w:t>
      </w:r>
      <w:r w:rsidRPr="001E4F95">
        <w:rPr>
          <w:rFonts w:cs="Times New Roman"/>
          <w:color w:val="000000" w:themeColor="text1"/>
          <w:lang w:eastAsia="zh-CN"/>
        </w:rPr>
        <w:t>国民经济行业分类</w:t>
      </w:r>
      <w:r w:rsidRPr="001E4F95">
        <w:rPr>
          <w:rFonts w:cs="Times New Roman"/>
          <w:color w:val="000000" w:themeColor="text1"/>
          <w:lang w:eastAsia="zh-CN"/>
        </w:rPr>
        <w:t xml:space="preserve">[EB/OL]. </w:t>
      </w:r>
      <w:r w:rsidRPr="001E4F95">
        <w:rPr>
          <w:rFonts w:cs="Times New Roman"/>
          <w:color w:val="000000" w:themeColor="text1"/>
          <w:lang w:eastAsia="zh-CN"/>
        </w:rPr>
        <w:t>国家市场监督管理总局、国家标准化管理委员会</w:t>
      </w:r>
      <w:r w:rsidRPr="001E4F95">
        <w:rPr>
          <w:rFonts w:cs="Times New Roman"/>
          <w:color w:val="000000" w:themeColor="text1"/>
          <w:lang w:eastAsia="zh-CN"/>
        </w:rPr>
        <w:t xml:space="preserve">, 2017. </w:t>
      </w:r>
      <w:r w:rsidRPr="001E4F95">
        <w:rPr>
          <w:rFonts w:cs="Times New Roman"/>
          <w:color w:val="000000" w:themeColor="text1"/>
        </w:rPr>
        <w:t>GB/T 4754-2017. https://std.samr.gov.cn/gb/search/gbDetailed?id=71F772D811F1D3A7E05397BE0A0AB82A</w:t>
      </w:r>
    </w:p>
    <w:p w14:paraId="6C50EF38" w14:textId="77777777" w:rsidR="00C46165" w:rsidRPr="001E4F95" w:rsidRDefault="00000000">
      <w:pPr>
        <w:spacing w:after="100"/>
        <w:ind w:left="480" w:hanging="48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 xml:space="preserve">[2] </w:t>
      </w:r>
      <w:r w:rsidRPr="001E4F95">
        <w:rPr>
          <w:rFonts w:cs="Times New Roman"/>
          <w:color w:val="000000" w:themeColor="text1"/>
          <w:lang w:eastAsia="zh-CN"/>
        </w:rPr>
        <w:t>国家统计局</w:t>
      </w:r>
      <w:r w:rsidRPr="001E4F95">
        <w:rPr>
          <w:rFonts w:cs="Times New Roman"/>
          <w:color w:val="000000" w:themeColor="text1"/>
          <w:lang w:eastAsia="zh-CN"/>
        </w:rPr>
        <w:t xml:space="preserve">. </w:t>
      </w:r>
      <w:r w:rsidRPr="001E4F95">
        <w:rPr>
          <w:rFonts w:cs="Times New Roman"/>
          <w:color w:val="000000" w:themeColor="text1"/>
          <w:lang w:eastAsia="zh-CN"/>
        </w:rPr>
        <w:t>体育产业统计分类（</w:t>
      </w:r>
      <w:r w:rsidRPr="001E4F95">
        <w:rPr>
          <w:rFonts w:cs="Times New Roman"/>
          <w:color w:val="000000" w:themeColor="text1"/>
          <w:lang w:eastAsia="zh-CN"/>
        </w:rPr>
        <w:t>2019</w:t>
      </w:r>
      <w:r w:rsidRPr="001E4F95">
        <w:rPr>
          <w:rFonts w:cs="Times New Roman"/>
          <w:color w:val="000000" w:themeColor="text1"/>
          <w:lang w:eastAsia="zh-CN"/>
        </w:rPr>
        <w:t>）</w:t>
      </w:r>
      <w:r w:rsidRPr="001E4F95">
        <w:rPr>
          <w:rFonts w:cs="Times New Roman"/>
          <w:color w:val="000000" w:themeColor="text1"/>
          <w:lang w:eastAsia="zh-CN"/>
        </w:rPr>
        <w:t xml:space="preserve">[EB/OL]. </w:t>
      </w:r>
      <w:r w:rsidRPr="001E4F95">
        <w:rPr>
          <w:rFonts w:cs="Times New Roman"/>
          <w:color w:val="000000" w:themeColor="text1"/>
          <w:lang w:eastAsia="zh-CN"/>
        </w:rPr>
        <w:t>国家统计局</w:t>
      </w:r>
      <w:r w:rsidRPr="001E4F95">
        <w:rPr>
          <w:rFonts w:cs="Times New Roman"/>
          <w:color w:val="000000" w:themeColor="text1"/>
          <w:lang w:eastAsia="zh-CN"/>
        </w:rPr>
        <w:t xml:space="preserve">, 2019. </w:t>
      </w:r>
      <w:r w:rsidRPr="001E4F95">
        <w:rPr>
          <w:rFonts w:cs="Times New Roman"/>
          <w:color w:val="000000" w:themeColor="text1"/>
          <w:lang w:eastAsia="zh-CN"/>
        </w:rPr>
        <w:t>国家统计局令第</w:t>
      </w:r>
      <w:r w:rsidRPr="001E4F95">
        <w:rPr>
          <w:rFonts w:cs="Times New Roman"/>
          <w:color w:val="000000" w:themeColor="text1"/>
          <w:lang w:eastAsia="zh-CN"/>
        </w:rPr>
        <w:t>26</w:t>
      </w:r>
      <w:r w:rsidRPr="001E4F95">
        <w:rPr>
          <w:rFonts w:cs="Times New Roman"/>
          <w:color w:val="000000" w:themeColor="text1"/>
          <w:lang w:eastAsia="zh-CN"/>
        </w:rPr>
        <w:t>号</w:t>
      </w:r>
      <w:r w:rsidRPr="001E4F95">
        <w:rPr>
          <w:rFonts w:cs="Times New Roman"/>
          <w:color w:val="000000" w:themeColor="text1"/>
          <w:lang w:eastAsia="zh-CN"/>
        </w:rPr>
        <w:t>. https://www.stats.gov.cn/xw/tjxw/tzgg/202302/t20230202_1894019.html</w:t>
      </w:r>
    </w:p>
    <w:p w14:paraId="77F63332" w14:textId="77777777" w:rsidR="00C46165" w:rsidRPr="001E4F95" w:rsidRDefault="00000000">
      <w:pPr>
        <w:spacing w:after="100"/>
        <w:ind w:left="480" w:hanging="48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 xml:space="preserve">[3] </w:t>
      </w:r>
      <w:r w:rsidRPr="001E4F95">
        <w:rPr>
          <w:rFonts w:cs="Times New Roman"/>
          <w:color w:val="000000" w:themeColor="text1"/>
          <w:lang w:eastAsia="zh-CN"/>
        </w:rPr>
        <w:t>国务院</w:t>
      </w:r>
      <w:r w:rsidRPr="001E4F95">
        <w:rPr>
          <w:rFonts w:cs="Times New Roman"/>
          <w:color w:val="000000" w:themeColor="text1"/>
          <w:lang w:eastAsia="zh-CN"/>
        </w:rPr>
        <w:t xml:space="preserve">. </w:t>
      </w:r>
      <w:r w:rsidRPr="001E4F95">
        <w:rPr>
          <w:rFonts w:cs="Times New Roman"/>
          <w:color w:val="000000" w:themeColor="text1"/>
          <w:lang w:eastAsia="zh-CN"/>
        </w:rPr>
        <w:t>国务院关于加快发展体育产业促进体育消费的若干意见</w:t>
      </w:r>
      <w:r w:rsidRPr="001E4F95">
        <w:rPr>
          <w:rFonts w:cs="Times New Roman"/>
          <w:color w:val="000000" w:themeColor="text1"/>
          <w:lang w:eastAsia="zh-CN"/>
        </w:rPr>
        <w:t xml:space="preserve">[EB/OL]. </w:t>
      </w:r>
      <w:r w:rsidRPr="001E4F95">
        <w:rPr>
          <w:rFonts w:cs="Times New Roman"/>
          <w:color w:val="000000" w:themeColor="text1"/>
          <w:lang w:eastAsia="zh-CN"/>
        </w:rPr>
        <w:t>国务院</w:t>
      </w:r>
      <w:r w:rsidRPr="001E4F95">
        <w:rPr>
          <w:rFonts w:cs="Times New Roman"/>
          <w:color w:val="000000" w:themeColor="text1"/>
          <w:lang w:eastAsia="zh-CN"/>
        </w:rPr>
        <w:t xml:space="preserve">, 2014. </w:t>
      </w:r>
      <w:r w:rsidRPr="001E4F95">
        <w:rPr>
          <w:rFonts w:cs="Times New Roman"/>
          <w:color w:val="000000" w:themeColor="text1"/>
          <w:lang w:eastAsia="zh-CN"/>
        </w:rPr>
        <w:t>国发〔</w:t>
      </w:r>
      <w:r w:rsidRPr="001E4F95">
        <w:rPr>
          <w:rFonts w:cs="Times New Roman"/>
          <w:color w:val="000000" w:themeColor="text1"/>
          <w:lang w:eastAsia="zh-CN"/>
        </w:rPr>
        <w:t>2014</w:t>
      </w:r>
      <w:r w:rsidRPr="001E4F95">
        <w:rPr>
          <w:rFonts w:cs="Times New Roman"/>
          <w:color w:val="000000" w:themeColor="text1"/>
          <w:lang w:eastAsia="zh-CN"/>
        </w:rPr>
        <w:t>〕</w:t>
      </w:r>
      <w:r w:rsidRPr="001E4F95">
        <w:rPr>
          <w:rFonts w:cs="Times New Roman"/>
          <w:color w:val="000000" w:themeColor="text1"/>
          <w:lang w:eastAsia="zh-CN"/>
        </w:rPr>
        <w:t>46</w:t>
      </w:r>
      <w:r w:rsidRPr="001E4F95">
        <w:rPr>
          <w:rFonts w:cs="Times New Roman"/>
          <w:color w:val="000000" w:themeColor="text1"/>
          <w:lang w:eastAsia="zh-CN"/>
        </w:rPr>
        <w:t>号</w:t>
      </w:r>
      <w:r w:rsidRPr="001E4F95">
        <w:rPr>
          <w:rFonts w:cs="Times New Roman"/>
          <w:color w:val="000000" w:themeColor="text1"/>
          <w:lang w:eastAsia="zh-CN"/>
        </w:rPr>
        <w:t>. https://www.audit.gov.cn/n4/n18/c60243/content.html</w:t>
      </w:r>
    </w:p>
    <w:p w14:paraId="3B170F1C" w14:textId="77777777" w:rsidR="00C46165" w:rsidRPr="001E4F95" w:rsidRDefault="00000000">
      <w:pPr>
        <w:spacing w:after="100"/>
        <w:ind w:left="480" w:hanging="48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 xml:space="preserve">[4] </w:t>
      </w:r>
      <w:r w:rsidRPr="001E4F95">
        <w:rPr>
          <w:rFonts w:cs="Times New Roman"/>
          <w:color w:val="000000" w:themeColor="text1"/>
          <w:lang w:eastAsia="zh-CN"/>
        </w:rPr>
        <w:t>国务院办公厅</w:t>
      </w:r>
      <w:r w:rsidRPr="001E4F95">
        <w:rPr>
          <w:rFonts w:cs="Times New Roman"/>
          <w:color w:val="000000" w:themeColor="text1"/>
          <w:lang w:eastAsia="zh-CN"/>
        </w:rPr>
        <w:t xml:space="preserve">. </w:t>
      </w:r>
      <w:r w:rsidRPr="001E4F95">
        <w:rPr>
          <w:rFonts w:cs="Times New Roman"/>
          <w:color w:val="000000" w:themeColor="text1"/>
          <w:lang w:eastAsia="zh-CN"/>
        </w:rPr>
        <w:t>体育强国建设纲要</w:t>
      </w:r>
      <w:r w:rsidRPr="001E4F95">
        <w:rPr>
          <w:rFonts w:cs="Times New Roman"/>
          <w:color w:val="000000" w:themeColor="text1"/>
          <w:lang w:eastAsia="zh-CN"/>
        </w:rPr>
        <w:t xml:space="preserve">[EB/OL]. </w:t>
      </w:r>
      <w:r w:rsidRPr="001E4F95">
        <w:rPr>
          <w:rFonts w:cs="Times New Roman"/>
          <w:color w:val="000000" w:themeColor="text1"/>
          <w:lang w:eastAsia="zh-CN"/>
        </w:rPr>
        <w:t>国务院办公厅</w:t>
      </w:r>
      <w:r w:rsidRPr="001E4F95">
        <w:rPr>
          <w:rFonts w:cs="Times New Roman"/>
          <w:color w:val="000000" w:themeColor="text1"/>
          <w:lang w:eastAsia="zh-CN"/>
        </w:rPr>
        <w:t xml:space="preserve">, 2019. </w:t>
      </w:r>
      <w:r w:rsidRPr="001E4F95">
        <w:rPr>
          <w:rFonts w:cs="Times New Roman"/>
          <w:color w:val="000000" w:themeColor="text1"/>
          <w:lang w:eastAsia="zh-CN"/>
        </w:rPr>
        <w:t>国办发〔</w:t>
      </w:r>
      <w:r w:rsidRPr="001E4F95">
        <w:rPr>
          <w:rFonts w:cs="Times New Roman"/>
          <w:color w:val="000000" w:themeColor="text1"/>
          <w:lang w:eastAsia="zh-CN"/>
        </w:rPr>
        <w:t>2019</w:t>
      </w:r>
      <w:r w:rsidRPr="001E4F95">
        <w:rPr>
          <w:rFonts w:cs="Times New Roman"/>
          <w:color w:val="000000" w:themeColor="text1"/>
          <w:lang w:eastAsia="zh-CN"/>
        </w:rPr>
        <w:t>〕</w:t>
      </w:r>
      <w:r w:rsidRPr="001E4F95">
        <w:rPr>
          <w:rFonts w:cs="Times New Roman"/>
          <w:color w:val="000000" w:themeColor="text1"/>
          <w:lang w:eastAsia="zh-CN"/>
        </w:rPr>
        <w:t>40</w:t>
      </w:r>
      <w:r w:rsidRPr="001E4F95">
        <w:rPr>
          <w:rFonts w:cs="Times New Roman"/>
          <w:color w:val="000000" w:themeColor="text1"/>
          <w:lang w:eastAsia="zh-CN"/>
        </w:rPr>
        <w:t>号</w:t>
      </w:r>
      <w:r w:rsidRPr="001E4F95">
        <w:rPr>
          <w:rFonts w:cs="Times New Roman"/>
          <w:color w:val="000000" w:themeColor="text1"/>
          <w:lang w:eastAsia="zh-CN"/>
        </w:rPr>
        <w:t>. https://app.www.gov.cn/govdata/gov/201909/02/447907/article.html</w:t>
      </w:r>
    </w:p>
    <w:p w14:paraId="7EAB6814" w14:textId="77777777" w:rsidR="00C46165" w:rsidRPr="001E4F95" w:rsidRDefault="00000000">
      <w:pPr>
        <w:spacing w:after="100"/>
        <w:ind w:left="480" w:hanging="480"/>
        <w:rPr>
          <w:color w:val="000000" w:themeColor="text1"/>
        </w:rPr>
      </w:pPr>
      <w:r w:rsidRPr="001E4F95">
        <w:rPr>
          <w:rFonts w:cs="Times New Roman"/>
          <w:color w:val="000000" w:themeColor="text1"/>
        </w:rPr>
        <w:t>[5] Gentzkow, M.; Kelly, B.; Taddy, M.. Text as Data[EB/OL]. Journal of Economic Literature, 2019. 10.1257/jel.20181020. https://www.aeaweb.org/articles?id=10.1257%2Fjel.20181020</w:t>
      </w:r>
    </w:p>
    <w:p w14:paraId="10C4CF57" w14:textId="77777777" w:rsidR="00C46165" w:rsidRPr="001E4F95" w:rsidRDefault="00000000">
      <w:pPr>
        <w:spacing w:after="100"/>
        <w:ind w:left="480" w:hanging="480"/>
        <w:rPr>
          <w:color w:val="000000" w:themeColor="text1"/>
        </w:rPr>
      </w:pPr>
      <w:r w:rsidRPr="001E4F95">
        <w:rPr>
          <w:rFonts w:cs="Times New Roman"/>
          <w:color w:val="000000" w:themeColor="text1"/>
        </w:rPr>
        <w:t>[6] Salton, G.; Buckley, C.. Term-weighting approaches in automatic text retrieval[EB/OL]. Information Processing &amp; Management, 1988. 10.1016/0306-4573(88)90021-0. https://www.sciencedirect.com/science/article/pii/0306457388900210</w:t>
      </w:r>
    </w:p>
    <w:p w14:paraId="6952EAAF" w14:textId="77777777" w:rsidR="00C46165" w:rsidRPr="001E4F95" w:rsidRDefault="00000000">
      <w:pPr>
        <w:spacing w:after="100"/>
        <w:ind w:left="480" w:hanging="480"/>
        <w:rPr>
          <w:color w:val="000000" w:themeColor="text1"/>
        </w:rPr>
      </w:pPr>
      <w:r w:rsidRPr="001E4F95">
        <w:rPr>
          <w:rFonts w:cs="Times New Roman"/>
          <w:color w:val="000000" w:themeColor="text1"/>
        </w:rPr>
        <w:t xml:space="preserve">[7] fxsjy. jieba </w:t>
      </w:r>
      <w:r w:rsidRPr="001E4F95">
        <w:rPr>
          <w:rFonts w:cs="Times New Roman"/>
          <w:color w:val="000000" w:themeColor="text1"/>
        </w:rPr>
        <w:t>中文分词项目</w:t>
      </w:r>
      <w:r w:rsidRPr="001E4F95">
        <w:rPr>
          <w:rFonts w:cs="Times New Roman"/>
          <w:color w:val="000000" w:themeColor="text1"/>
        </w:rPr>
        <w:t>[EB/OL]. GitHub, 2026. fxsjy/jieba. https://github.com/fxsjy/jieba</w:t>
      </w:r>
    </w:p>
    <w:p w14:paraId="2D02309D" w14:textId="77777777" w:rsidR="00C46165" w:rsidRPr="001E4F95" w:rsidRDefault="00000000">
      <w:pPr>
        <w:pStyle w:val="1"/>
        <w:rPr>
          <w:color w:val="000000" w:themeColor="text1"/>
        </w:rPr>
      </w:pPr>
      <w:bookmarkStart w:id="40" w:name="_Toc236510178"/>
      <w:r w:rsidRPr="001E4F95">
        <w:rPr>
          <w:rFonts w:ascii="Times New Roman" w:eastAsia="宋体" w:hAnsi="Times New Roman" w:cs="Times New Roman"/>
          <w:color w:val="000000" w:themeColor="text1"/>
        </w:rPr>
        <w:lastRenderedPageBreak/>
        <w:t>附录</w:t>
      </w:r>
      <w:r w:rsidRPr="001E4F95">
        <w:rPr>
          <w:rFonts w:ascii="Times New Roman" w:eastAsia="宋体" w:hAnsi="Times New Roman" w:cs="Times New Roman"/>
          <w:color w:val="000000" w:themeColor="text1"/>
        </w:rPr>
        <w:t xml:space="preserve">A  </w:t>
      </w:r>
      <w:r w:rsidRPr="001E4F95">
        <w:rPr>
          <w:rFonts w:ascii="Times New Roman" w:eastAsia="宋体" w:hAnsi="Times New Roman" w:cs="Times New Roman"/>
          <w:color w:val="000000" w:themeColor="text1"/>
        </w:rPr>
        <w:t>指标定义与计算口径</w:t>
      </w:r>
      <w:bookmarkEnd w:id="40"/>
    </w:p>
    <w:p w14:paraId="480FC63C" w14:textId="77777777" w:rsidR="00C46165" w:rsidRPr="001E4F95" w:rsidRDefault="00000000">
      <w:pPr>
        <w:keepNext/>
        <w:spacing w:before="120" w:after="60"/>
        <w:ind w:firstLine="0"/>
        <w:jc w:val="center"/>
        <w:rPr>
          <w:color w:val="000000" w:themeColor="text1"/>
        </w:rPr>
      </w:pPr>
      <w:r w:rsidRPr="001E4F95">
        <w:rPr>
          <w:rFonts w:cs="Times New Roman"/>
          <w:b/>
          <w:color w:val="000000" w:themeColor="text1"/>
          <w:sz w:val="21"/>
        </w:rPr>
        <w:t>表</w:t>
      </w:r>
      <w:r w:rsidRPr="001E4F95">
        <w:rPr>
          <w:rFonts w:cs="Times New Roman"/>
          <w:b/>
          <w:color w:val="000000" w:themeColor="text1"/>
          <w:sz w:val="21"/>
        </w:rPr>
        <w:t xml:space="preserve">A-1  </w:t>
      </w:r>
      <w:r w:rsidRPr="001E4F95">
        <w:rPr>
          <w:rFonts w:cs="Times New Roman"/>
          <w:b/>
          <w:color w:val="000000" w:themeColor="text1"/>
          <w:sz w:val="21"/>
        </w:rPr>
        <w:t>核心指标定义</w:t>
      </w:r>
    </w:p>
    <w:tbl>
      <w:tblPr>
        <w:tblW w:w="0" w:type="auto"/>
        <w:jc w:val="center"/>
        <w:tblBorders>
          <w:top w:val="single" w:sz="12" w:space="0" w:color="355C6B"/>
          <w:bottom w:val="single" w:sz="12" w:space="0" w:color="355C6B"/>
          <w:insideH w:val="nil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402"/>
        <w:gridCol w:w="2835"/>
      </w:tblGrid>
      <w:tr w:rsidR="00C46165" w:rsidRPr="001E4F95" w14:paraId="31107F2D" w14:textId="77777777">
        <w:trPr>
          <w:jc w:val="center"/>
        </w:trPr>
        <w:tc>
          <w:tcPr>
            <w:tcW w:w="1928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4C56A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指标</w:t>
            </w:r>
          </w:p>
        </w:tc>
        <w:tc>
          <w:tcPr>
            <w:tcW w:w="3402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863047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公式或定义</w:t>
            </w:r>
          </w:p>
        </w:tc>
        <w:tc>
          <w:tcPr>
            <w:tcW w:w="2835" w:type="dxa"/>
            <w:tcBorders>
              <w:bottom w:val="single" w:sz="8" w:space="0" w:color="7B9AA4"/>
            </w:tcBorders>
            <w:shd w:val="clear" w:color="auto" w:fill="E6EE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6D32E" w14:textId="77777777" w:rsidR="00C46165" w:rsidRPr="001E4F95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b/>
                <w:color w:val="000000" w:themeColor="text1"/>
                <w:sz w:val="19"/>
              </w:rPr>
              <w:t>使用限制</w:t>
            </w:r>
          </w:p>
        </w:tc>
      </w:tr>
      <w:tr w:rsidR="00C46165" w:rsidRPr="001E4F95" w14:paraId="55DEFA36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BB7BD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融合覆盖率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4B80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融合识别企业数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/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全样本企业数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5EE97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描述规则识别范围，不是召回率</w:t>
            </w:r>
          </w:p>
        </w:tc>
      </w:tr>
      <w:tr w:rsidR="00C46165" w:rsidRPr="001E4F95" w14:paraId="573945E1" w14:textId="77777777">
        <w:trPr>
          <w:jc w:val="center"/>
        </w:trPr>
        <w:tc>
          <w:tcPr>
            <w:tcW w:w="192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1BDE9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相对识别增加</w:t>
            </w:r>
          </w:p>
        </w:tc>
        <w:tc>
          <w:tcPr>
            <w:tcW w:w="3402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F7AC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(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融合法数量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−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传统法数量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)/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传统法数量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4C8D5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不代表准确率提升</w:t>
            </w:r>
          </w:p>
        </w:tc>
      </w:tr>
      <w:tr w:rsidR="00C46165" w:rsidRPr="001E4F95" w14:paraId="5C4E54B1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AB2E9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跨界率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E7D3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跨界企业数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/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体育相关企业数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7A33E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依赖当前代码和文本规则</w:t>
            </w:r>
          </w:p>
        </w:tc>
      </w:tr>
      <w:tr w:rsidR="00C46165" w:rsidRPr="001E4F95" w14:paraId="074470C9" w14:textId="77777777">
        <w:trPr>
          <w:jc w:val="center"/>
        </w:trPr>
        <w:tc>
          <w:tcPr>
            <w:tcW w:w="192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13FBF8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平均</w:t>
            </w:r>
            <w:r w:rsidRPr="001E4F95">
              <w:rPr>
                <w:rFonts w:cs="Times New Roman"/>
                <w:color w:val="000000" w:themeColor="text1"/>
                <w:sz w:val="19"/>
              </w:rPr>
              <w:t>SportRatio</w:t>
            </w:r>
          </w:p>
        </w:tc>
        <w:tc>
          <w:tcPr>
            <w:tcW w:w="3402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B621A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体育企业</w:t>
            </w:r>
            <w:r w:rsidRPr="001E4F95">
              <w:rPr>
                <w:rFonts w:cs="Times New Roman"/>
                <w:color w:val="000000" w:themeColor="text1"/>
                <w:sz w:val="19"/>
              </w:rPr>
              <w:t>SportRatio</w:t>
            </w:r>
            <w:r w:rsidRPr="001E4F95">
              <w:rPr>
                <w:rFonts w:cs="Times New Roman"/>
                <w:color w:val="000000" w:themeColor="text1"/>
                <w:sz w:val="19"/>
              </w:rPr>
              <w:t>均值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4CA5E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只针对体育企业子集</w:t>
            </w:r>
          </w:p>
        </w:tc>
      </w:tr>
      <w:tr w:rsidR="00C46165" w:rsidRPr="001E4F95" w14:paraId="2671CDE8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7936D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相对产出指数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FB695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Σ(SportRatio×100)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C40E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非货币单位</w:t>
            </w:r>
          </w:p>
        </w:tc>
      </w:tr>
      <w:tr w:rsidR="00C46165" w:rsidRPr="001E4F95" w14:paraId="6649BB71" w14:textId="77777777">
        <w:trPr>
          <w:jc w:val="center"/>
        </w:trPr>
        <w:tc>
          <w:tcPr>
            <w:tcW w:w="192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512C5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CR3/CR5</w:t>
            </w:r>
          </w:p>
        </w:tc>
        <w:tc>
          <w:tcPr>
            <w:tcW w:w="3402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DE1970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前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3/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前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5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区域指数占全部区域指数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82998F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区域抽取需地址数据校准</w:t>
            </w:r>
          </w:p>
        </w:tc>
      </w:tr>
      <w:tr w:rsidR="00C46165" w:rsidRPr="001E4F95" w14:paraId="43207669" w14:textId="77777777">
        <w:trPr>
          <w:jc w:val="center"/>
        </w:trPr>
        <w:tc>
          <w:tcPr>
            <w:tcW w:w="192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8DC9B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HHI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3F82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各区域指数份额平方和</w:t>
            </w: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×10,000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2F151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反映当前相对指数集中度</w:t>
            </w:r>
          </w:p>
        </w:tc>
      </w:tr>
      <w:tr w:rsidR="00C46165" w:rsidRPr="001E4F95" w14:paraId="73879B6D" w14:textId="77777777">
        <w:trPr>
          <w:jc w:val="center"/>
        </w:trPr>
        <w:tc>
          <w:tcPr>
            <w:tcW w:w="1928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B66A5" w14:textId="77777777" w:rsidR="00C46165" w:rsidRPr="001E4F95" w:rsidRDefault="00000000">
            <w:pPr>
              <w:spacing w:before="20" w:after="20" w:line="276" w:lineRule="auto"/>
              <w:jc w:val="left"/>
              <w:rPr>
                <w:color w:val="000000" w:themeColor="text1"/>
              </w:rPr>
            </w:pPr>
            <w:r w:rsidRPr="001E4F95">
              <w:rPr>
                <w:rFonts w:cs="Times New Roman"/>
                <w:color w:val="000000" w:themeColor="text1"/>
                <w:sz w:val="19"/>
              </w:rPr>
              <w:t>Gini</w:t>
            </w:r>
          </w:p>
        </w:tc>
        <w:tc>
          <w:tcPr>
            <w:tcW w:w="3402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DB33D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区域指数分布的基尼系数</w:t>
            </w:r>
          </w:p>
        </w:tc>
        <w:tc>
          <w:tcPr>
            <w:tcW w:w="2835" w:type="dxa"/>
            <w:shd w:val="clear" w:color="auto" w:fill="F8FA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20932" w14:textId="77777777" w:rsidR="00C46165" w:rsidRPr="001E4F95" w:rsidRDefault="00000000">
            <w:pPr>
              <w:spacing w:before="20" w:after="20" w:line="276" w:lineRule="auto"/>
              <w:jc w:val="center"/>
              <w:rPr>
                <w:color w:val="000000" w:themeColor="text1"/>
                <w:lang w:eastAsia="zh-CN"/>
              </w:rPr>
            </w:pPr>
            <w:r w:rsidRPr="001E4F95">
              <w:rPr>
                <w:rFonts w:cs="Times New Roman"/>
                <w:color w:val="000000" w:themeColor="text1"/>
                <w:sz w:val="19"/>
                <w:lang w:eastAsia="zh-CN"/>
              </w:rPr>
              <w:t>受省本级与地级市混合口径影响</w:t>
            </w:r>
          </w:p>
        </w:tc>
      </w:tr>
    </w:tbl>
    <w:p w14:paraId="3462A3C1" w14:textId="77777777" w:rsidR="00C46165" w:rsidRPr="001E4F95" w:rsidRDefault="00000000">
      <w:pPr>
        <w:pStyle w:val="1"/>
        <w:rPr>
          <w:color w:val="000000" w:themeColor="text1"/>
        </w:rPr>
      </w:pPr>
      <w:bookmarkStart w:id="41" w:name="_Toc236510179"/>
      <w:r w:rsidRPr="001E4F95">
        <w:rPr>
          <w:rFonts w:ascii="Times New Roman" w:eastAsia="宋体" w:hAnsi="Times New Roman" w:cs="Times New Roman"/>
          <w:color w:val="000000" w:themeColor="text1"/>
        </w:rPr>
        <w:lastRenderedPageBreak/>
        <w:t>附录</w:t>
      </w:r>
      <w:r w:rsidRPr="001E4F95">
        <w:rPr>
          <w:rFonts w:ascii="Times New Roman" w:eastAsia="宋体" w:hAnsi="Times New Roman" w:cs="Times New Roman"/>
          <w:color w:val="000000" w:themeColor="text1"/>
        </w:rPr>
        <w:t xml:space="preserve">B  </w:t>
      </w:r>
      <w:r w:rsidRPr="001E4F95">
        <w:rPr>
          <w:rFonts w:ascii="Times New Roman" w:eastAsia="宋体" w:hAnsi="Times New Roman" w:cs="Times New Roman"/>
          <w:color w:val="000000" w:themeColor="text1"/>
        </w:rPr>
        <w:t>复现步骤</w:t>
      </w:r>
      <w:bookmarkEnd w:id="41"/>
    </w:p>
    <w:p w14:paraId="4730E008" w14:textId="77777777" w:rsidR="00C46165" w:rsidRPr="001E4F95" w:rsidRDefault="00000000">
      <w:pPr>
        <w:spacing w:after="40"/>
        <w:ind w:firstLine="0"/>
        <w:rPr>
          <w:color w:val="000000" w:themeColor="text1"/>
        </w:rPr>
      </w:pPr>
      <w:r w:rsidRPr="001E4F95">
        <w:rPr>
          <w:rFonts w:cs="Times New Roman"/>
          <w:color w:val="000000" w:themeColor="text1"/>
        </w:rPr>
        <w:t xml:space="preserve">1. </w:t>
      </w:r>
      <w:r w:rsidRPr="001E4F95">
        <w:rPr>
          <w:rFonts w:cs="Times New Roman"/>
          <w:color w:val="000000" w:themeColor="text1"/>
        </w:rPr>
        <w:t>使用</w:t>
      </w:r>
      <w:r w:rsidRPr="001E4F95">
        <w:rPr>
          <w:rFonts w:cs="Times New Roman"/>
          <w:color w:val="000000" w:themeColor="text1"/>
        </w:rPr>
        <w:t>enterprise_dataset_20260629_160902.csv</w:t>
      </w:r>
      <w:r w:rsidRPr="001E4F95">
        <w:rPr>
          <w:rFonts w:cs="Times New Roman"/>
          <w:color w:val="000000" w:themeColor="text1"/>
        </w:rPr>
        <w:t>运行</w:t>
      </w:r>
      <w:r w:rsidRPr="001E4F95">
        <w:rPr>
          <w:rFonts w:cs="Times New Roman"/>
          <w:color w:val="000000" w:themeColor="text1"/>
        </w:rPr>
        <w:t>backend/scripts/run_recognition.py</w:t>
      </w:r>
      <w:r w:rsidRPr="001E4F95">
        <w:rPr>
          <w:rFonts w:cs="Times New Roman"/>
          <w:color w:val="000000" w:themeColor="text1"/>
        </w:rPr>
        <w:t>，输出全量</w:t>
      </w:r>
      <w:r w:rsidRPr="001E4F95">
        <w:rPr>
          <w:rFonts w:cs="Times New Roman"/>
          <w:color w:val="000000" w:themeColor="text1"/>
        </w:rPr>
        <w:t>SportRatio</w:t>
      </w:r>
      <w:r w:rsidRPr="001E4F95">
        <w:rPr>
          <w:rFonts w:cs="Times New Roman"/>
          <w:color w:val="000000" w:themeColor="text1"/>
        </w:rPr>
        <w:t>结果与模型比较</w:t>
      </w:r>
      <w:r w:rsidRPr="001E4F95">
        <w:rPr>
          <w:rFonts w:cs="Times New Roman"/>
          <w:color w:val="000000" w:themeColor="text1"/>
        </w:rPr>
        <w:t>JSON</w:t>
      </w:r>
      <w:r w:rsidRPr="001E4F95">
        <w:rPr>
          <w:rFonts w:cs="Times New Roman"/>
          <w:color w:val="000000" w:themeColor="text1"/>
        </w:rPr>
        <w:t>。</w:t>
      </w:r>
    </w:p>
    <w:p w14:paraId="390F603C" w14:textId="77777777" w:rsidR="00C46165" w:rsidRPr="001E4F95" w:rsidRDefault="00000000">
      <w:pPr>
        <w:spacing w:after="40"/>
        <w:ind w:firstLine="0"/>
        <w:rPr>
          <w:color w:val="000000" w:themeColor="text1"/>
        </w:rPr>
      </w:pPr>
      <w:r w:rsidRPr="001E4F95">
        <w:rPr>
          <w:rFonts w:cs="Times New Roman"/>
          <w:color w:val="000000" w:themeColor="text1"/>
        </w:rPr>
        <w:t xml:space="preserve">2. </w:t>
      </w:r>
      <w:r w:rsidRPr="001E4F95">
        <w:rPr>
          <w:rFonts w:cs="Times New Roman"/>
          <w:color w:val="000000" w:themeColor="text1"/>
        </w:rPr>
        <w:t>使用正式</w:t>
      </w:r>
      <w:r w:rsidRPr="001E4F95">
        <w:rPr>
          <w:rFonts w:cs="Times New Roman"/>
          <w:color w:val="000000" w:themeColor="text1"/>
        </w:rPr>
        <w:t>SportRatio</w:t>
      </w:r>
      <w:r w:rsidRPr="001E4F95">
        <w:rPr>
          <w:rFonts w:cs="Times New Roman"/>
          <w:color w:val="000000" w:themeColor="text1"/>
        </w:rPr>
        <w:t>结果运行</w:t>
      </w:r>
      <w:r w:rsidRPr="001E4F95">
        <w:rPr>
          <w:rFonts w:cs="Times New Roman"/>
          <w:color w:val="000000" w:themeColor="text1"/>
        </w:rPr>
        <w:t>backend/scripts/run_analysis.py</w:t>
      </w:r>
      <w:r w:rsidRPr="001E4F95">
        <w:rPr>
          <w:rFonts w:cs="Times New Roman"/>
          <w:color w:val="000000" w:themeColor="text1"/>
        </w:rPr>
        <w:t>，输出业态、区域、集中度和汇总</w:t>
      </w:r>
      <w:r w:rsidRPr="001E4F95">
        <w:rPr>
          <w:rFonts w:cs="Times New Roman"/>
          <w:color w:val="000000" w:themeColor="text1"/>
        </w:rPr>
        <w:t>JSON</w:t>
      </w:r>
      <w:r w:rsidRPr="001E4F95">
        <w:rPr>
          <w:rFonts w:cs="Times New Roman"/>
          <w:color w:val="000000" w:themeColor="text1"/>
        </w:rPr>
        <w:t>。</w:t>
      </w:r>
    </w:p>
    <w:p w14:paraId="1DEBA2A9" w14:textId="77777777" w:rsidR="00C46165" w:rsidRPr="001E4F95" w:rsidRDefault="00000000">
      <w:pPr>
        <w:spacing w:after="40"/>
        <w:ind w:firstLine="0"/>
        <w:rPr>
          <w:color w:val="000000" w:themeColor="text1"/>
        </w:rPr>
      </w:pPr>
      <w:r w:rsidRPr="001E4F95">
        <w:rPr>
          <w:rFonts w:cs="Times New Roman"/>
          <w:color w:val="000000" w:themeColor="text1"/>
        </w:rPr>
        <w:t xml:space="preserve">3. </w:t>
      </w:r>
      <w:r w:rsidRPr="001E4F95">
        <w:rPr>
          <w:rFonts w:cs="Times New Roman"/>
          <w:color w:val="000000" w:themeColor="text1"/>
        </w:rPr>
        <w:t>运行</w:t>
      </w:r>
      <w:r w:rsidRPr="001E4F95">
        <w:rPr>
          <w:rFonts w:cs="Times New Roman"/>
          <w:color w:val="000000" w:themeColor="text1"/>
        </w:rPr>
        <w:t>paper_revision/run_data_audit.py</w:t>
      </w:r>
      <w:r w:rsidRPr="001E4F95">
        <w:rPr>
          <w:rFonts w:cs="Times New Roman"/>
          <w:color w:val="000000" w:themeColor="text1"/>
        </w:rPr>
        <w:t>，对原始</w:t>
      </w:r>
      <w:r w:rsidRPr="001E4F95">
        <w:rPr>
          <w:rFonts w:cs="Times New Roman"/>
          <w:color w:val="000000" w:themeColor="text1"/>
        </w:rPr>
        <w:t>Excel</w:t>
      </w:r>
      <w:r w:rsidRPr="001E4F95">
        <w:rPr>
          <w:rFonts w:cs="Times New Roman"/>
          <w:color w:val="000000" w:themeColor="text1"/>
        </w:rPr>
        <w:t>、正式结果和历史输出进行行数、加总、哈希及冲突检查。</w:t>
      </w:r>
    </w:p>
    <w:p w14:paraId="73CBDE18" w14:textId="77777777" w:rsidR="00C46165" w:rsidRPr="001E4F95" w:rsidRDefault="00000000">
      <w:pPr>
        <w:spacing w:after="40"/>
        <w:ind w:firstLine="0"/>
        <w:rPr>
          <w:color w:val="000000" w:themeColor="text1"/>
        </w:rPr>
      </w:pPr>
      <w:r w:rsidRPr="001E4F95">
        <w:rPr>
          <w:rFonts w:cs="Times New Roman"/>
          <w:color w:val="000000" w:themeColor="text1"/>
        </w:rPr>
        <w:t xml:space="preserve">4. </w:t>
      </w:r>
      <w:r w:rsidRPr="001E4F95">
        <w:rPr>
          <w:rFonts w:cs="Times New Roman"/>
          <w:color w:val="000000" w:themeColor="text1"/>
        </w:rPr>
        <w:t>图表统一读取</w:t>
      </w:r>
      <w:r w:rsidRPr="001E4F95">
        <w:rPr>
          <w:rFonts w:cs="Times New Roman"/>
          <w:color w:val="000000" w:themeColor="text1"/>
        </w:rPr>
        <w:t>paper_revision/artifacts/data_audit.json</w:t>
      </w:r>
      <w:r w:rsidRPr="001E4F95">
        <w:rPr>
          <w:rFonts w:cs="Times New Roman"/>
          <w:color w:val="000000" w:themeColor="text1"/>
        </w:rPr>
        <w:t>；正文不直接抄录历史文档中的孤立数字。</w:t>
      </w:r>
    </w:p>
    <w:p w14:paraId="6F144177" w14:textId="77777777" w:rsidR="00C46165" w:rsidRPr="001E4F95" w:rsidRDefault="00000000">
      <w:pPr>
        <w:spacing w:after="40"/>
        <w:ind w:firstLine="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 xml:space="preserve">5. </w:t>
      </w:r>
      <w:r w:rsidRPr="001E4F95">
        <w:rPr>
          <w:rFonts w:cs="Times New Roman"/>
          <w:color w:val="000000" w:themeColor="text1"/>
          <w:lang w:eastAsia="zh-CN"/>
        </w:rPr>
        <w:t>对外发布前补充人工标注与财务校准；未完成前，不生成监督评估指标和金额化结论。</w:t>
      </w:r>
    </w:p>
    <w:p w14:paraId="77207115" w14:textId="77777777" w:rsidR="00C46165" w:rsidRPr="001E4F95" w:rsidRDefault="00000000">
      <w:pPr>
        <w:pStyle w:val="1"/>
        <w:rPr>
          <w:color w:val="000000" w:themeColor="text1"/>
          <w:lang w:eastAsia="zh-CN"/>
        </w:rPr>
      </w:pPr>
      <w:bookmarkStart w:id="42" w:name="_Toc236510180"/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lastRenderedPageBreak/>
        <w:t>附录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 xml:space="preserve">C  </w:t>
      </w:r>
      <w:r w:rsidRPr="001E4F95">
        <w:rPr>
          <w:rFonts w:ascii="Times New Roman" w:eastAsia="宋体" w:hAnsi="Times New Roman" w:cs="Times New Roman"/>
          <w:color w:val="000000" w:themeColor="text1"/>
          <w:lang w:eastAsia="zh-CN"/>
        </w:rPr>
        <w:t>数据真实性与修订声明</w:t>
      </w:r>
      <w:bookmarkEnd w:id="42"/>
    </w:p>
    <w:p w14:paraId="329F2066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本修订稿仅保留能够由工作区原始数据、正式重跑结果、运行代码或官方公开来源直接核验的事实。旧稿中的冲突数字按正式批次统一；无法定位原始标签、测试记录、财务台账或时间序列的数据均不作为实证结论。</w:t>
      </w:r>
    </w:p>
    <w:p w14:paraId="1DAAC6F1" w14:textId="77777777" w:rsidR="00C46165" w:rsidRPr="001E4F95" w:rsidRDefault="00000000">
      <w:pPr>
        <w:spacing w:after="40"/>
        <w:rPr>
          <w:color w:val="000000" w:themeColor="text1"/>
          <w:lang w:eastAsia="zh-CN"/>
        </w:rPr>
      </w:pPr>
      <w:r w:rsidRPr="001E4F95">
        <w:rPr>
          <w:rFonts w:cs="Times New Roman"/>
          <w:color w:val="000000" w:themeColor="text1"/>
          <w:lang w:eastAsia="zh-CN"/>
        </w:rPr>
        <w:t>报告保留研究局限，不以界面展示替代数据证据，不以规则输出替代人工金标准，不以相对指数替代货币规模。读者可依据附录</w:t>
      </w:r>
      <w:r w:rsidRPr="001E4F95">
        <w:rPr>
          <w:rFonts w:cs="Times New Roman"/>
          <w:color w:val="000000" w:themeColor="text1"/>
          <w:lang w:eastAsia="zh-CN"/>
        </w:rPr>
        <w:t>B</w:t>
      </w:r>
      <w:r w:rsidRPr="001E4F95">
        <w:rPr>
          <w:rFonts w:cs="Times New Roman"/>
          <w:color w:val="000000" w:themeColor="text1"/>
          <w:lang w:eastAsia="zh-CN"/>
        </w:rPr>
        <w:t>和文件哈希复核主要结果。</w:t>
      </w:r>
    </w:p>
    <w:sectPr w:rsidR="00C46165" w:rsidRPr="001E4F95" w:rsidSect="00034616">
      <w:headerReference w:type="default" r:id="rId21"/>
      <w:footerReference w:type="default" r:id="rId22"/>
      <w:pgSz w:w="11906" w:h="16838"/>
      <w:pgMar w:top="1361" w:right="1361" w:bottom="1247" w:left="158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64A59" w14:textId="77777777" w:rsidR="00A533FF" w:rsidRDefault="00A533FF">
      <w:pPr>
        <w:spacing w:line="240" w:lineRule="auto"/>
      </w:pPr>
      <w:r>
        <w:separator/>
      </w:r>
    </w:p>
  </w:endnote>
  <w:endnote w:type="continuationSeparator" w:id="0">
    <w:p w14:paraId="4C64BFC2" w14:textId="77777777" w:rsidR="00A533FF" w:rsidRDefault="00A533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3FCCA" w14:textId="77777777" w:rsidR="00C46165" w:rsidRDefault="00000000">
    <w:pPr>
      <w:pStyle w:val="a7"/>
      <w:jc w:val="center"/>
    </w:pPr>
    <w:r>
      <w:rPr>
        <w:rFonts w:cs="Times New Roman"/>
        <w:color w:val="666666"/>
        <w:sz w:val="18"/>
      </w:rPr>
      <w:t xml:space="preserve">— </w:t>
    </w:r>
    <w:r>
      <w:fldChar w:fldCharType="begin"/>
    </w:r>
    <w:r>
      <w:instrText>PAGE</w:instrText>
    </w:r>
    <w:r>
      <w:fldChar w:fldCharType="separate"/>
    </w:r>
    <w:r w:rsidR="001E4F95">
      <w:rPr>
        <w:noProof/>
      </w:rPr>
      <w:t>1</w:t>
    </w:r>
    <w:r>
      <w:fldChar w:fldCharType="end"/>
    </w:r>
    <w:r>
      <w:rPr>
        <w:rFonts w:cs="Times New Roman"/>
        <w:color w:val="666666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3AE0A" w14:textId="77777777" w:rsidR="00A533FF" w:rsidRDefault="00A533FF">
      <w:pPr>
        <w:spacing w:line="240" w:lineRule="auto"/>
      </w:pPr>
      <w:r>
        <w:separator/>
      </w:r>
    </w:p>
  </w:footnote>
  <w:footnote w:type="continuationSeparator" w:id="0">
    <w:p w14:paraId="48135249" w14:textId="77777777" w:rsidR="00A533FF" w:rsidRDefault="00A533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7BE05" w14:textId="77777777" w:rsidR="00C46165" w:rsidRDefault="00000000">
    <w:pPr>
      <w:pStyle w:val="a5"/>
      <w:jc w:val="center"/>
      <w:rPr>
        <w:lang w:eastAsia="zh-CN"/>
      </w:rPr>
    </w:pPr>
    <w:r>
      <w:rPr>
        <w:rFonts w:cs="Times New Roman"/>
        <w:color w:val="666666"/>
        <w:sz w:val="18"/>
        <w:lang w:eastAsia="zh-CN"/>
      </w:rPr>
      <w:t>体融识界</w:t>
    </w:r>
    <w:r>
      <w:rPr>
        <w:rFonts w:cs="Times New Roman"/>
        <w:color w:val="666666"/>
        <w:sz w:val="18"/>
        <w:lang w:eastAsia="zh-CN"/>
      </w:rPr>
      <w:t>·SportFusion</w:t>
    </w:r>
    <w:r>
      <w:rPr>
        <w:rFonts w:cs="Times New Roman"/>
        <w:color w:val="666666"/>
        <w:sz w:val="18"/>
        <w:lang w:eastAsia="zh-CN"/>
      </w:rPr>
      <w:t>｜体育业务边界识别与相对规模测算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508040">
    <w:abstractNumId w:val="8"/>
  </w:num>
  <w:num w:numId="2" w16cid:durableId="1215700040">
    <w:abstractNumId w:val="6"/>
  </w:num>
  <w:num w:numId="3" w16cid:durableId="454249432">
    <w:abstractNumId w:val="5"/>
  </w:num>
  <w:num w:numId="4" w16cid:durableId="1545412183">
    <w:abstractNumId w:val="4"/>
  </w:num>
  <w:num w:numId="5" w16cid:durableId="669061842">
    <w:abstractNumId w:val="7"/>
  </w:num>
  <w:num w:numId="6" w16cid:durableId="2031103906">
    <w:abstractNumId w:val="3"/>
  </w:num>
  <w:num w:numId="7" w16cid:durableId="2128813126">
    <w:abstractNumId w:val="2"/>
  </w:num>
  <w:num w:numId="8" w16cid:durableId="524026541">
    <w:abstractNumId w:val="1"/>
  </w:num>
  <w:num w:numId="9" w16cid:durableId="155649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F95"/>
    <w:rsid w:val="0029639D"/>
    <w:rsid w:val="00326F90"/>
    <w:rsid w:val="00A533FF"/>
    <w:rsid w:val="00AA1D8D"/>
    <w:rsid w:val="00B47730"/>
    <w:rsid w:val="00C46165"/>
    <w:rsid w:val="00CB0664"/>
    <w:rsid w:val="00F42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FA28FB"/>
  <w14:defaultImageDpi w14:val="300"/>
  <w15:docId w15:val="{31A772C1-E9E8-4080-9C35-1E6C0B16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80" w:after="16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55C6B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355C6B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6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7B9AA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b/>
      <w:color w:val="355C6B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before="280" w:after="160"/>
      <w:jc w:val="center"/>
    </w:pPr>
    <w:rPr>
      <w:rFonts w:asciiTheme="majorHAnsi" w:eastAsiaTheme="majorEastAsia" w:hAnsiTheme="majorHAnsi" w:cstheme="majorBidi"/>
      <w:b/>
      <w:i/>
      <w:iCs/>
      <w:color w:val="666666"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1E4F95"/>
  </w:style>
  <w:style w:type="paragraph" w:styleId="TOC2">
    <w:name w:val="toc 2"/>
    <w:basedOn w:val="a1"/>
    <w:next w:val="a1"/>
    <w:autoRedefine/>
    <w:uiPriority w:val="39"/>
    <w:unhideWhenUsed/>
    <w:rsid w:val="001E4F95"/>
    <w:pPr>
      <w:ind w:leftChars="200" w:left="420"/>
    </w:pPr>
  </w:style>
  <w:style w:type="character" w:styleId="aff9">
    <w:name w:val="Hyperlink"/>
    <w:basedOn w:val="a2"/>
    <w:uiPriority w:val="99"/>
    <w:unhideWhenUsed/>
    <w:rsid w:val="001E4F9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2415</Words>
  <Characters>13768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帶师 超</cp:lastModifiedBy>
  <cp:revision>3</cp:revision>
  <dcterms:created xsi:type="dcterms:W3CDTF">2013-12-23T23:15:00Z</dcterms:created>
  <dcterms:modified xsi:type="dcterms:W3CDTF">2026-08-01T12:57:00Z</dcterms:modified>
  <cp:category/>
</cp:coreProperties>
</file>