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1CA336">
      <w:pPr>
        <w:keepNext w:val="0"/>
        <w:keepLines w:val="0"/>
        <w:widowControl/>
        <w:suppressLineNumbers w:val="0"/>
        <w:shd w:val="clear"/>
        <w:jc w:val="left"/>
      </w:pPr>
      <w:r>
        <w:rPr>
          <w:rFonts w:hint="eastAsia" w:cs="Segoe UI" w:asciiTheme="majorEastAsia" w:hAnsiTheme="majorEastAsia" w:eastAsiaTheme="majorEastAsia"/>
          <w:b/>
          <w:kern w:val="0"/>
          <w:szCs w:val="21"/>
          <w:lang w:val="en-US" w:eastAsia="zh-CN"/>
        </w:rPr>
        <w:t>题目：多元经营背景下新兴产业经营活动比重识别与产业规模测算——以体育产业为例</w:t>
      </w:r>
    </w:p>
    <w:p w14:paraId="491ED984">
      <w:pPr>
        <w:widowControl/>
        <w:shd w:val="clear" w:color="auto"/>
        <w:spacing w:line="360" w:lineRule="auto"/>
        <w:ind w:left="211" w:hanging="211" w:hangingChars="100"/>
        <w:jc w:val="left"/>
        <w:textAlignment w:val="baseline"/>
        <w:rPr>
          <w:rFonts w:hint="eastAsia" w:cs="Segoe UI" w:asciiTheme="majorEastAsia" w:hAnsiTheme="majorEastAsia" w:eastAsiaTheme="majorEastAsia"/>
          <w:b/>
          <w:kern w:val="0"/>
          <w:szCs w:val="21"/>
          <w:lang w:val="en-US" w:eastAsia="zh-CN"/>
        </w:rPr>
      </w:pPr>
    </w:p>
    <w:p w14:paraId="233DCC1B">
      <w:pPr>
        <w:widowControl/>
        <w:shd w:val="clear" w:color="auto"/>
        <w:spacing w:line="360" w:lineRule="auto"/>
        <w:ind w:left="211" w:hanging="211" w:hangingChars="100"/>
        <w:jc w:val="left"/>
        <w:textAlignment w:val="baseline"/>
        <w:rPr>
          <w:rFonts w:hint="eastAsia" w:cs="Segoe UI" w:asciiTheme="majorEastAsia" w:hAnsiTheme="majorEastAsia" w:eastAsiaTheme="majorEastAsia"/>
          <w:b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b/>
          <w:kern w:val="0"/>
          <w:szCs w:val="21"/>
          <w:lang w:val="en-US" w:eastAsia="zh-CN"/>
        </w:rPr>
        <w:t>一</w:t>
      </w:r>
      <w:r>
        <w:rPr>
          <w:rFonts w:cs="Segoe UI" w:asciiTheme="majorEastAsia" w:hAnsiTheme="majorEastAsia" w:eastAsiaTheme="majorEastAsia"/>
          <w:b/>
          <w:kern w:val="0"/>
          <w:szCs w:val="21"/>
        </w:rPr>
        <w:t>、背景</w:t>
      </w:r>
      <w:r>
        <w:rPr>
          <w:rFonts w:hint="eastAsia" w:cs="Segoe UI" w:asciiTheme="majorEastAsia" w:hAnsiTheme="majorEastAsia" w:eastAsiaTheme="majorEastAsia"/>
          <w:b/>
          <w:kern w:val="0"/>
          <w:szCs w:val="21"/>
          <w:lang w:val="en-US" w:eastAsia="zh-CN"/>
        </w:rPr>
        <w:t>介绍</w:t>
      </w:r>
    </w:p>
    <w:p w14:paraId="5129A630">
      <w:pPr>
        <w:widowControl/>
        <w:shd w:val="clear" w:color="auto"/>
        <w:spacing w:line="360" w:lineRule="auto"/>
        <w:ind w:firstLine="420" w:firstLineChars="200"/>
        <w:jc w:val="left"/>
        <w:textAlignment w:val="baseline"/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体育产业作为推动经济高质量发展的重要增长点、满足人民美好生活需要的重要载体，其产业规模的精准统计是国家制定产业政策、优化资源配置的核心基础。当前，我国企业多元化经营趋势日益显著，大量传统企业跨界布局体育赛事、健身休闲、体育培训等新兴体育业务，传统以“行业分类”为核心的统计方法，仅依据企业注册行业代码判定产业归属，难以精准识别多元经营企业中体育业务的实际经营边界，导致体育产业规模测算存在严重的低估、漏算、口径不一等问题，严重制约了产业统计监测的科学性与政策制定的精准性。</w:t>
      </w:r>
    </w:p>
    <w:p w14:paraId="18DDD329">
      <w:pPr>
        <w:widowControl/>
        <w:shd w:val="clear" w:color="auto"/>
        <w:spacing w:line="360" w:lineRule="auto"/>
        <w:ind w:firstLine="420" w:firstLineChars="200"/>
        <w:jc w:val="left"/>
        <w:textAlignment w:val="baseline"/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随着大数据、自然语言处理等技术的快速发展，依托区域企业基础数据库（企业名称、行业分类、主营业务等），融合网络公开关联信息，为精准识别多元经营企业的体育业务边界、科学测算产业规模提供了全新技术路径。本题目需要参赛队伍开展业务边界识别、比重测算模型构建与产业规模估算等工作，紧扣国家体育产业统计监测的现实需求，为新兴产业统计监测提供创新技术路径与实践方案。</w:t>
      </w:r>
    </w:p>
    <w:p w14:paraId="027ABC23">
      <w:pPr>
        <w:widowControl/>
        <w:shd w:val="clear" w:color="auto"/>
        <w:spacing w:line="360" w:lineRule="auto"/>
        <w:jc w:val="left"/>
        <w:textAlignment w:val="baseline"/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二、问题提出</w:t>
      </w:r>
    </w:p>
    <w:p w14:paraId="24163199">
      <w:pPr>
        <w:widowControl/>
        <w:shd w:val="clear" w:color="auto"/>
        <w:spacing w:line="360" w:lineRule="auto"/>
        <w:ind w:firstLine="420" w:firstLineChars="200"/>
        <w:jc w:val="left"/>
        <w:textAlignment w:val="baseline"/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依托题目提供的企业基础数据库,研究如何精准识别多元经营企业的体育产业业务边界，构建科学的业务分类与比重识别体系？如何构建适配多元经营场景的体育产业经营活动比重测算模型，实现体育产业规模与产值的科学、精准估算？如何基于测算结果，优化体育产业统计监测方法，为体育产业政策制定与产业发展规划提供数据支撑？</w:t>
      </w:r>
    </w:p>
    <w:p w14:paraId="0BB30B3A">
      <w:pPr>
        <w:widowControl/>
        <w:shd w:val="clear" w:color="auto"/>
        <w:spacing w:line="360" w:lineRule="auto"/>
        <w:jc w:val="left"/>
        <w:textAlignment w:val="baseline"/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三、任务要求</w:t>
      </w:r>
    </w:p>
    <w:p w14:paraId="5D055770">
      <w:pPr>
        <w:widowControl/>
        <w:shd w:val="clear" w:color="auto"/>
        <w:spacing w:line="360" w:lineRule="auto"/>
        <w:ind w:firstLine="420" w:firstLineChars="200"/>
        <w:jc w:val="left"/>
        <w:textAlignment w:val="baseline"/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1.数据采集与预处理</w:t>
      </w:r>
    </w:p>
    <w:p w14:paraId="7708408B">
      <w:pPr>
        <w:widowControl/>
        <w:shd w:val="clear" w:color="auto"/>
        <w:spacing w:line="360" w:lineRule="auto"/>
        <w:ind w:firstLine="420" w:firstLineChars="200"/>
        <w:jc w:val="left"/>
        <w:textAlignment w:val="baseline"/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数据源说明：赛题提供标准化企业微观数据库，核心字段包括：统一社会信用代码、详细名称、行业代码、主要业务活动等。</w:t>
      </w:r>
    </w:p>
    <w:p w14:paraId="4C013FBA">
      <w:pPr>
        <w:widowControl/>
        <w:shd w:val="clear" w:color="auto"/>
        <w:spacing w:line="360" w:lineRule="auto"/>
        <w:ind w:firstLine="420" w:firstLineChars="200"/>
        <w:jc w:val="left"/>
        <w:textAlignment w:val="baseline"/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数据要求：完成数据清洗、文本预处理、特征提取，构建标准化企业微观数据集；针对“主要业务活动”文本字段，完成分词、关键词提取、体育业务标签标注等预处理工作。</w:t>
      </w:r>
    </w:p>
    <w:p w14:paraId="0CFBCBA1">
      <w:pPr>
        <w:widowControl/>
        <w:shd w:val="clear" w:color="auto"/>
        <w:spacing w:line="360" w:lineRule="auto"/>
        <w:ind w:firstLine="420" w:firstLineChars="200"/>
        <w:jc w:val="left"/>
        <w:textAlignment w:val="baseline"/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2.体育业务边界识别与比重测算</w:t>
      </w:r>
    </w:p>
    <w:p w14:paraId="17BA1C89">
      <w:pPr>
        <w:widowControl/>
        <w:shd w:val="clear" w:color="auto"/>
        <w:spacing w:line="360" w:lineRule="auto"/>
        <w:ind w:firstLine="420" w:firstLineChars="200"/>
        <w:jc w:val="left"/>
        <w:textAlignment w:val="baseline"/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运用自然语言处理、文本分类、规则匹配、知识图谱等技术，基于企业“主要业务活动”文本与行业代码，精准识别多元经营企业的体育业务类型（如体育赛事、健身休闲、体育用品、体育培训等），界定业务边界。</w:t>
      </w:r>
    </w:p>
    <w:p w14:paraId="16781490">
      <w:pPr>
        <w:widowControl/>
        <w:shd w:val="clear" w:color="auto"/>
        <w:spacing w:line="360" w:lineRule="auto"/>
        <w:ind w:firstLine="420" w:firstLineChars="200"/>
        <w:jc w:val="left"/>
        <w:textAlignment w:val="baseline"/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构建经营活动比重测算模型，量化企业体育业务在整体经营中的占比，可结合业务文本特征、行业关联度、业务投入等多维度特征优化模型精度。完成模型有效性验证，对比传统按行业代码统计方法与模型测算结果，验证方法的科学性与准确性。</w:t>
      </w:r>
    </w:p>
    <w:p w14:paraId="6FECF764">
      <w:pPr>
        <w:widowControl/>
        <w:shd w:val="clear" w:color="auto"/>
        <w:spacing w:line="360" w:lineRule="auto"/>
        <w:ind w:firstLine="420" w:firstLineChars="200"/>
        <w:jc w:val="left"/>
        <w:textAlignment w:val="baseline"/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3.体育产业规模测算与分析</w:t>
      </w:r>
    </w:p>
    <w:p w14:paraId="74959606">
      <w:pPr>
        <w:widowControl/>
        <w:shd w:val="clear" w:color="auto"/>
        <w:spacing w:line="360" w:lineRule="auto"/>
        <w:ind w:firstLine="420" w:firstLineChars="200"/>
        <w:jc w:val="left"/>
        <w:textAlignment w:val="baseline"/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基于业务比重测算结果，科学估算区域体育产业总规模、分业态规模与产值，形成区域体育产业发展全景分析。开展区域体育产业结构分析、空间分布特征分析、发展趋势研判，揭示区域体育产业发展规律与痛点。</w:t>
      </w:r>
    </w:p>
    <w:p w14:paraId="5D24A76C">
      <w:pPr>
        <w:widowControl/>
        <w:shd w:val="clear" w:color="auto"/>
        <w:spacing w:line="360" w:lineRule="auto"/>
        <w:ind w:firstLine="420" w:firstLineChars="200"/>
        <w:jc w:val="left"/>
        <w:textAlignment w:val="baseline"/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4.统计方法优化与政策建议</w:t>
      </w:r>
    </w:p>
    <w:p w14:paraId="413A9B12">
      <w:pPr>
        <w:widowControl/>
        <w:shd w:val="clear" w:color="auto"/>
        <w:spacing w:line="360" w:lineRule="auto"/>
        <w:ind w:firstLine="420" w:firstLineChars="200"/>
        <w:jc w:val="left"/>
        <w:textAlignment w:val="baseline"/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基于研究结果，提出多元经营背景下体育产业统计监测的优化方案，完善新兴产业统计技术路径。针对体育产业发展，提出针对性的政策建议，为地方体育管理部门、统计部门提供决策支撑。</w:t>
      </w:r>
    </w:p>
    <w:p w14:paraId="1D91DCAC">
      <w:pPr>
        <w:widowControl/>
        <w:numPr>
          <w:ilvl w:val="0"/>
          <w:numId w:val="1"/>
        </w:numPr>
        <w:shd w:val="clear" w:color="auto"/>
        <w:spacing w:line="360" w:lineRule="auto"/>
        <w:jc w:val="left"/>
        <w:textAlignment w:val="baseline"/>
        <w:rPr>
          <w:rFonts w:cs="Segoe UI" w:asciiTheme="majorEastAsia" w:hAnsiTheme="majorEastAsia" w:eastAsiaTheme="majorEastAsia"/>
          <w:b/>
          <w:kern w:val="0"/>
          <w:szCs w:val="21"/>
        </w:rPr>
      </w:pPr>
      <w:r>
        <w:rPr>
          <w:rFonts w:cs="Segoe UI" w:asciiTheme="majorEastAsia" w:hAnsiTheme="majorEastAsia" w:eastAsiaTheme="majorEastAsia"/>
          <w:b/>
          <w:kern w:val="0"/>
          <w:szCs w:val="21"/>
        </w:rPr>
        <w:t>提交物</w:t>
      </w:r>
    </w:p>
    <w:p w14:paraId="0C06EB55">
      <w:pPr>
        <w:widowControl/>
        <w:numPr>
          <w:ilvl w:val="0"/>
          <w:numId w:val="2"/>
        </w:numPr>
        <w:shd w:val="clear" w:color="auto"/>
        <w:spacing w:line="360" w:lineRule="auto"/>
        <w:jc w:val="left"/>
        <w:textAlignment w:val="baseline"/>
        <w:rPr>
          <w:rFonts w:hint="default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完整研究报告：包含研究背景与意义、文献综述、研究设计、数据来源与预处理、模型构建、实证分析、规模测算、政策建议等，逻辑严谨、学术规范。重点突出数据分析与挖掘核心内容，逻辑严谨。</w:t>
      </w:r>
    </w:p>
    <w:p w14:paraId="5B384BBB">
      <w:pPr>
        <w:widowControl/>
        <w:numPr>
          <w:ilvl w:val="0"/>
          <w:numId w:val="2"/>
        </w:numPr>
        <w:shd w:val="clear" w:color="auto"/>
        <w:spacing w:line="360" w:lineRule="auto"/>
        <w:ind w:left="0" w:leftChars="0" w:firstLine="0" w:firstLineChars="0"/>
        <w:jc w:val="left"/>
        <w:textAlignment w:val="baseline"/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数据文档：标准化分析数据集、数据处理说明文档，注明指标含义、清洗规则、统计口径，保证数据处理过程可追溯、可复现。</w:t>
      </w:r>
    </w:p>
    <w:p w14:paraId="56333BFE">
      <w:pPr>
        <w:widowControl/>
        <w:numPr>
          <w:ilvl w:val="0"/>
          <w:numId w:val="2"/>
        </w:numPr>
        <w:shd w:val="clear" w:color="auto"/>
        <w:spacing w:line="360" w:lineRule="auto"/>
        <w:ind w:left="0" w:leftChars="0" w:firstLine="0" w:firstLineChars="0"/>
        <w:jc w:val="left"/>
        <w:textAlignment w:val="baseline"/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分析过程记录：包括建模过程、相关算法及代码。详细说明分析方法、模型构建、指标测算、结果解读过程，方便企业核查复用。</w:t>
      </w:r>
    </w:p>
    <w:p w14:paraId="77D12610">
      <w:pPr>
        <w:widowControl/>
        <w:numPr>
          <w:ilvl w:val="0"/>
          <w:numId w:val="2"/>
        </w:numPr>
        <w:shd w:val="clear" w:color="auto"/>
        <w:spacing w:line="360" w:lineRule="auto"/>
        <w:ind w:left="0" w:leftChars="0" w:firstLine="0" w:firstLineChars="0"/>
        <w:jc w:val="left"/>
        <w:textAlignment w:val="baseline"/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可视化成果集：文档/图片/web网页等方式展示企业体育业务识别结果图、产业规模测算对比图、区域体育产业结构/空间分布图、模型性能评估图等，格式规范、清晰易懂。</w:t>
      </w:r>
    </w:p>
    <w:p w14:paraId="01EF038A">
      <w:pPr>
        <w:widowControl/>
        <w:numPr>
          <w:ilvl w:val="0"/>
          <w:numId w:val="2"/>
        </w:numPr>
        <w:shd w:val="clear" w:color="auto"/>
        <w:spacing w:line="360" w:lineRule="auto"/>
        <w:ind w:left="0" w:leftChars="0" w:firstLine="0" w:firstLineChars="0"/>
        <w:jc w:val="left"/>
        <w:textAlignment w:val="baseline"/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落地应用方案：针对统计部门、体育管理部门的产业统计监测优化方案、政策落地实操建议，具备可推广性。</w:t>
      </w:r>
      <w:bookmarkStart w:id="0" w:name="_GoBack"/>
      <w:bookmarkEnd w:id="0"/>
    </w:p>
    <w:p w14:paraId="2BED8A74">
      <w:pPr>
        <w:widowControl/>
        <w:shd w:val="clear" w:color="auto"/>
        <w:spacing w:line="360" w:lineRule="auto"/>
        <w:jc w:val="left"/>
        <w:textAlignment w:val="baseline"/>
        <w:rPr>
          <w:rFonts w:cs="Segoe UI" w:asciiTheme="majorEastAsia" w:hAnsiTheme="majorEastAsia" w:eastAsiaTheme="majorEastAsia"/>
          <w:b/>
          <w:kern w:val="0"/>
          <w:szCs w:val="21"/>
        </w:rPr>
      </w:pPr>
      <w:r>
        <w:rPr>
          <w:rFonts w:hint="eastAsia" w:cs="Segoe UI" w:asciiTheme="majorEastAsia" w:hAnsiTheme="majorEastAsia" w:eastAsiaTheme="majorEastAsia"/>
          <w:b/>
          <w:kern w:val="0"/>
          <w:szCs w:val="21"/>
          <w:lang w:val="en-US" w:eastAsia="zh-CN"/>
        </w:rPr>
        <w:t>五</w:t>
      </w:r>
      <w:r>
        <w:rPr>
          <w:rFonts w:cs="Segoe UI" w:asciiTheme="majorEastAsia" w:hAnsiTheme="majorEastAsia" w:eastAsiaTheme="majorEastAsia"/>
          <w:b/>
          <w:kern w:val="0"/>
          <w:szCs w:val="21"/>
        </w:rPr>
        <w:t>、</w:t>
      </w:r>
      <w:r>
        <w:rPr>
          <w:rFonts w:hint="eastAsia" w:cs="Segoe UI" w:asciiTheme="majorEastAsia" w:hAnsiTheme="majorEastAsia" w:eastAsiaTheme="majorEastAsia"/>
          <w:b/>
          <w:kern w:val="0"/>
          <w:szCs w:val="21"/>
          <w:lang w:val="en-US" w:eastAsia="zh-CN"/>
        </w:rPr>
        <w:t>作品评价</w:t>
      </w:r>
      <w:r>
        <w:rPr>
          <w:rFonts w:cs="Segoe UI" w:asciiTheme="majorEastAsia" w:hAnsiTheme="majorEastAsia" w:eastAsiaTheme="majorEastAsia"/>
          <w:b/>
          <w:kern w:val="0"/>
          <w:szCs w:val="21"/>
        </w:rPr>
        <w:t>标准（100分）</w:t>
      </w:r>
    </w:p>
    <w:p w14:paraId="337B1081">
      <w:pPr>
        <w:widowControl/>
        <w:shd w:val="clear" w:color="auto"/>
        <w:spacing w:line="360" w:lineRule="auto"/>
        <w:jc w:val="left"/>
        <w:textAlignment w:val="baseline"/>
        <w:rPr>
          <w:rFonts w:hint="eastAsia" w:cs="Segoe UI" w:asciiTheme="majorEastAsia" w:hAnsiTheme="majorEastAsia" w:eastAsiaTheme="majorEastAsia"/>
          <w:b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b/>
          <w:kern w:val="0"/>
          <w:szCs w:val="21"/>
          <w:lang w:val="en-US" w:eastAsia="zh-CN"/>
        </w:rPr>
        <w:t>1、撰写规范性（20分）</w:t>
      </w:r>
    </w:p>
    <w:p w14:paraId="532481F7">
      <w:pPr>
        <w:widowControl/>
        <w:shd w:val="clear" w:color="auto"/>
        <w:spacing w:line="360" w:lineRule="auto"/>
        <w:ind w:firstLine="420" w:firstLineChars="200"/>
        <w:jc w:val="left"/>
        <w:textAlignment w:val="baseline"/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default" w:cs="Segoe UI" w:asciiTheme="majorEastAsia" w:hAnsiTheme="majorEastAsia" w:eastAsiaTheme="majorEastAsia"/>
          <w:kern w:val="0"/>
          <w:szCs w:val="21"/>
          <w:lang w:val="en-US" w:eastAsia="zh-CN"/>
        </w:rPr>
        <w:t>(1)参赛报告结构完整，包括以下内容①项目概述:项目背景、应用行业、算法或模型优势等;②解决方案:方案设计、方案功能、关键技术、算法实现过程、结果分析等;③应用价值:经济效益、社会效益分析等</w:t>
      </w: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；</w:t>
      </w:r>
    </w:p>
    <w:p w14:paraId="273208ED">
      <w:pPr>
        <w:widowControl/>
        <w:shd w:val="clear" w:color="auto"/>
        <w:spacing w:line="360" w:lineRule="auto"/>
        <w:ind w:firstLine="420" w:firstLineChars="200"/>
        <w:jc w:val="left"/>
        <w:textAlignment w:val="baseline"/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default" w:cs="Segoe UI" w:asciiTheme="majorEastAsia" w:hAnsiTheme="majorEastAsia" w:eastAsiaTheme="majorEastAsia"/>
          <w:kern w:val="0"/>
          <w:szCs w:val="21"/>
          <w:lang w:val="en-US" w:eastAsia="zh-CN"/>
        </w:rPr>
        <w:t>(2)参赛报告格式规范</w:t>
      </w: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，内容清晰</w:t>
      </w:r>
      <w:r>
        <w:rPr>
          <w:rFonts w:hint="default" w:cs="Segoe UI" w:asciiTheme="majorEastAsia" w:hAnsiTheme="majorEastAsia" w:eastAsiaTheme="majorEastAsia"/>
          <w:kern w:val="0"/>
          <w:szCs w:val="21"/>
          <w:lang w:val="en-US" w:eastAsia="zh-CN"/>
        </w:rPr>
        <w:t>，术语、图表、公式准确规范</w:t>
      </w: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；</w:t>
      </w:r>
    </w:p>
    <w:p w14:paraId="661B46C6">
      <w:pPr>
        <w:widowControl/>
        <w:shd w:val="clear" w:color="auto"/>
        <w:spacing w:line="360" w:lineRule="auto"/>
        <w:ind w:firstLine="420" w:firstLineChars="200"/>
        <w:jc w:val="left"/>
        <w:textAlignment w:val="baseline"/>
        <w:rPr>
          <w:rFonts w:hint="default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default" w:cs="Segoe UI" w:asciiTheme="majorEastAsia" w:hAnsiTheme="majorEastAsia" w:eastAsiaTheme="majorEastAsia"/>
          <w:kern w:val="0"/>
          <w:szCs w:val="21"/>
          <w:lang w:val="en-US" w:eastAsia="zh-CN"/>
        </w:rPr>
        <w:t>(3)所提交代码</w:t>
      </w:r>
      <w:r>
        <w:rPr>
          <w:rFonts w:cs="Segoe UI" w:asciiTheme="majorEastAsia" w:hAnsiTheme="majorEastAsia" w:eastAsiaTheme="majorEastAsia"/>
          <w:kern w:val="0"/>
          <w:szCs w:val="21"/>
        </w:rPr>
        <w:t>规范</w:t>
      </w:r>
      <w:r>
        <w:rPr>
          <w:rFonts w:hint="default" w:cs="Segoe UI" w:asciiTheme="majorEastAsia" w:hAnsiTheme="majorEastAsia" w:eastAsiaTheme="majorEastAsia"/>
          <w:kern w:val="0"/>
          <w:szCs w:val="21"/>
          <w:lang w:val="en-US" w:eastAsia="zh-CN"/>
        </w:rPr>
        <w:t>清晰、详尽、可读性强，</w:t>
      </w: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具有可</w:t>
      </w:r>
      <w:r>
        <w:rPr>
          <w:rFonts w:cs="Segoe UI" w:asciiTheme="majorEastAsia" w:hAnsiTheme="majorEastAsia" w:eastAsiaTheme="majorEastAsia"/>
          <w:kern w:val="0"/>
          <w:szCs w:val="21"/>
        </w:rPr>
        <w:t>复现性</w:t>
      </w:r>
      <w:r>
        <w:rPr>
          <w:rFonts w:hint="eastAsia" w:cs="Segoe UI" w:asciiTheme="majorEastAsia" w:hAnsiTheme="majorEastAsia" w:eastAsiaTheme="majorEastAsia"/>
          <w:kern w:val="0"/>
          <w:szCs w:val="21"/>
          <w:lang w:eastAsia="zh-CN"/>
        </w:rPr>
        <w:t>，</w:t>
      </w:r>
      <w:r>
        <w:rPr>
          <w:rFonts w:hint="default" w:cs="Segoe UI" w:asciiTheme="majorEastAsia" w:hAnsiTheme="majorEastAsia" w:eastAsiaTheme="majorEastAsia"/>
          <w:kern w:val="0"/>
          <w:szCs w:val="21"/>
          <w:lang w:val="en-US" w:eastAsia="zh-CN"/>
        </w:rPr>
        <w:t>能准确帮助评审人理解算法的工作原理和实现过程</w:t>
      </w: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。</w:t>
      </w:r>
    </w:p>
    <w:p w14:paraId="69BF39D7">
      <w:pPr>
        <w:widowControl/>
        <w:shd w:val="clear" w:color="auto"/>
        <w:spacing w:line="360" w:lineRule="auto"/>
        <w:jc w:val="left"/>
        <w:textAlignment w:val="baseline"/>
        <w:rPr>
          <w:rFonts w:hint="eastAsia" w:cs="Segoe UI" w:asciiTheme="majorEastAsia" w:hAnsiTheme="majorEastAsia" w:eastAsiaTheme="majorEastAsia"/>
          <w:b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b/>
          <w:kern w:val="0"/>
          <w:szCs w:val="21"/>
          <w:lang w:val="en-US" w:eastAsia="zh-CN"/>
        </w:rPr>
        <w:t>2、算法效果与效率（40分）</w:t>
      </w:r>
    </w:p>
    <w:p w14:paraId="4389B8DE">
      <w:pPr>
        <w:widowControl/>
        <w:shd w:val="clear" w:color="auto"/>
        <w:spacing w:line="360" w:lineRule="auto"/>
        <w:ind w:firstLine="420" w:firstLineChars="200"/>
        <w:jc w:val="left"/>
        <w:textAlignment w:val="baseline"/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(1)参赛报告需要清晰展示算法的效果，包括使用合适的评估指标对模型进行量化评估，测试算法的准确性；</w:t>
      </w:r>
    </w:p>
    <w:p w14:paraId="49A3370C">
      <w:pPr>
        <w:widowControl/>
        <w:shd w:val="clear" w:color="auto"/>
        <w:spacing w:line="360" w:lineRule="auto"/>
        <w:ind w:firstLine="420" w:firstLineChars="200"/>
        <w:jc w:val="left"/>
        <w:textAlignment w:val="baseline"/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(2)参赛报告需要清晰展示算法在不同条件下的表现，以及对异常输入的处理能力，给出测试报告；</w:t>
      </w:r>
    </w:p>
    <w:p w14:paraId="00531FCF">
      <w:pPr>
        <w:widowControl/>
        <w:shd w:val="clear" w:color="auto"/>
        <w:spacing w:line="360" w:lineRule="auto"/>
        <w:ind w:firstLine="420" w:firstLineChars="200"/>
        <w:jc w:val="left"/>
        <w:textAlignment w:val="baseline"/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(3)评估算法的运行时间和资源消耗，包括计算速度和内存使用情况。</w:t>
      </w:r>
    </w:p>
    <w:p w14:paraId="7B5201B2">
      <w:pPr>
        <w:widowControl/>
        <w:shd w:val="clear" w:color="auto"/>
        <w:spacing w:line="360" w:lineRule="auto"/>
        <w:jc w:val="left"/>
        <w:textAlignment w:val="baseline"/>
        <w:rPr>
          <w:rFonts w:hint="eastAsia" w:cs="Segoe UI" w:asciiTheme="majorEastAsia" w:hAnsiTheme="majorEastAsia" w:eastAsiaTheme="majorEastAsia"/>
          <w:b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b/>
          <w:kern w:val="0"/>
          <w:szCs w:val="21"/>
          <w:lang w:val="en-US" w:eastAsia="zh-CN"/>
        </w:rPr>
        <w:t>3、文档可读性和用户指导性(20分)</w:t>
      </w:r>
    </w:p>
    <w:p w14:paraId="7C1CD08F">
      <w:pPr>
        <w:widowControl/>
        <w:shd w:val="clear" w:color="auto"/>
        <w:spacing w:line="360" w:lineRule="auto"/>
        <w:ind w:firstLine="420" w:firstLineChars="200"/>
        <w:jc w:val="left"/>
        <w:textAlignment w:val="baseline"/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(1)参赛报告具有较好的创新与洞察，通过“清晰的逻辑+具体的案例+可落地的建议”，让报告中的创新与洞察“可感知、可验证、有价值”。</w:t>
      </w:r>
    </w:p>
    <w:p w14:paraId="445F968D">
      <w:pPr>
        <w:widowControl/>
        <w:shd w:val="clear" w:color="auto"/>
        <w:spacing w:line="360" w:lineRule="auto"/>
        <w:ind w:firstLine="420" w:firstLineChars="200"/>
        <w:jc w:val="left"/>
        <w:textAlignment w:val="baseline"/>
        <w:rPr>
          <w:rFonts w:hint="default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(2)参赛报告应详细解释算法或系统的工作原理、使用方法以及可能的配置选项，确保用户能够无障碍地安装、配置和运行算法或系统。并能为用户提供足够的背景信息和示例，帮助用户深入理解算法的应用场景。</w:t>
      </w:r>
    </w:p>
    <w:p w14:paraId="6E9E57B2">
      <w:pPr>
        <w:widowControl/>
        <w:shd w:val="clear" w:color="auto"/>
        <w:spacing w:line="360" w:lineRule="auto"/>
        <w:ind w:firstLine="420" w:firstLineChars="200"/>
        <w:jc w:val="left"/>
        <w:textAlignment w:val="baseline"/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(3)除参赛报告外，提交的各附件（算法或系统实现的源代码、可用于验证的原始数据集、算法或系统运行说明文档等）的可读性强，逻辑连贯，论述层次清晰，语言表达简洁明了。</w:t>
      </w:r>
    </w:p>
    <w:p w14:paraId="6B224E0C">
      <w:pPr>
        <w:widowControl/>
        <w:shd w:val="clear" w:color="auto"/>
        <w:spacing w:line="360" w:lineRule="auto"/>
        <w:jc w:val="left"/>
        <w:textAlignment w:val="baseline"/>
        <w:rPr>
          <w:rFonts w:hint="default" w:cs="Segoe UI" w:asciiTheme="majorEastAsia" w:hAnsiTheme="majorEastAsia" w:eastAsiaTheme="majorEastAsia"/>
          <w:b/>
          <w:kern w:val="0"/>
          <w:szCs w:val="21"/>
          <w:lang w:val="en-US" w:eastAsia="zh-CN"/>
        </w:rPr>
      </w:pPr>
      <w:r>
        <w:rPr>
          <w:rFonts w:hint="eastAsia" w:cs="Segoe UI" w:asciiTheme="majorEastAsia" w:hAnsiTheme="majorEastAsia" w:eastAsiaTheme="majorEastAsia"/>
          <w:b/>
          <w:kern w:val="0"/>
          <w:szCs w:val="21"/>
          <w:lang w:val="en-US" w:eastAsia="zh-CN"/>
        </w:rPr>
        <w:t>4、</w:t>
      </w:r>
      <w:r>
        <w:rPr>
          <w:rFonts w:hint="default" w:cs="Segoe UI" w:asciiTheme="majorEastAsia" w:hAnsiTheme="majorEastAsia" w:eastAsiaTheme="majorEastAsia"/>
          <w:b/>
          <w:kern w:val="0"/>
          <w:szCs w:val="21"/>
          <w:lang w:val="en-US" w:eastAsia="zh-CN"/>
        </w:rPr>
        <w:t>结果展示形式的丰富性(20分)</w:t>
      </w:r>
    </w:p>
    <w:p w14:paraId="7977FD9E">
      <w:pPr>
        <w:widowControl/>
        <w:shd w:val="clear" w:color="auto"/>
        <w:spacing w:line="360" w:lineRule="auto"/>
        <w:ind w:firstLine="420" w:firstLineChars="200"/>
        <w:jc w:val="left"/>
        <w:textAlignment w:val="baseline"/>
        <w:rPr>
          <w:rFonts w:hint="default" w:cs="Segoe UI" w:asciiTheme="majorEastAsia" w:hAnsiTheme="majorEastAsia" w:eastAsiaTheme="majorEastAsia"/>
          <w:kern w:val="0"/>
          <w:szCs w:val="21"/>
          <w:lang w:val="en-US" w:eastAsia="zh-CN"/>
        </w:rPr>
      </w:pPr>
      <w:r>
        <w:rPr>
          <w:rFonts w:hint="default" w:cs="Segoe UI" w:asciiTheme="majorEastAsia" w:hAnsiTheme="majorEastAsia" w:eastAsiaTheme="majorEastAsia"/>
          <w:kern w:val="0"/>
          <w:szCs w:val="21"/>
          <w:lang w:val="en-US" w:eastAsia="zh-CN"/>
        </w:rPr>
        <w:t>评审将关注作品结果展示形式多样、创新，鼓励参赛团队使用多种方式来呈现结果。结果展示可以包括图表、动画、交互界面、软件系统等多种形式，以直观、生动地展现算法的效果和优势。展示形式应清晰易懂,能够突出关键信息,帮助评审人和用户更好地理解作品</w:t>
      </w:r>
      <w:r>
        <w:rPr>
          <w:rFonts w:hint="eastAsia" w:cs="Segoe UI" w:asciiTheme="majorEastAsia" w:hAnsiTheme="majorEastAsia" w:eastAsiaTheme="majorEastAsia"/>
          <w:kern w:val="0"/>
          <w:szCs w:val="21"/>
          <w:lang w:val="en-US" w:eastAsia="zh-CN"/>
        </w:rPr>
        <w:t>。</w:t>
      </w:r>
    </w:p>
    <w:p w14:paraId="725D8B36">
      <w:pPr>
        <w:widowControl/>
        <w:shd w:val="clear" w:color="auto"/>
        <w:spacing w:line="360" w:lineRule="auto"/>
        <w:jc w:val="left"/>
        <w:textAlignment w:val="baseline"/>
        <w:rPr>
          <w:rFonts w:hint="default" w:cs="Segoe UI" w:asciiTheme="majorEastAsia" w:hAnsiTheme="majorEastAsia" w:eastAsiaTheme="majorEastAsia"/>
          <w:kern w:val="0"/>
          <w:szCs w:val="21"/>
          <w:lang w:val="en-US" w:eastAsia="zh-CN"/>
        </w:rPr>
      </w:pPr>
    </w:p>
    <w:p w14:paraId="37D10B6C">
      <w:pPr>
        <w:shd w:val="clear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BEC8B4"/>
    <w:multiLevelType w:val="singleLevel"/>
    <w:tmpl w:val="F6BEC8B4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D9E746E"/>
    <w:multiLevelType w:val="singleLevel"/>
    <w:tmpl w:val="5D9E746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D03394"/>
    <w:rsid w:val="000A7743"/>
    <w:rsid w:val="010F3B4F"/>
    <w:rsid w:val="023172A1"/>
    <w:rsid w:val="03106198"/>
    <w:rsid w:val="03765078"/>
    <w:rsid w:val="04694F7F"/>
    <w:rsid w:val="051C2CDE"/>
    <w:rsid w:val="05940AC6"/>
    <w:rsid w:val="059565ED"/>
    <w:rsid w:val="06E670D4"/>
    <w:rsid w:val="084C66CA"/>
    <w:rsid w:val="087F53D8"/>
    <w:rsid w:val="08DE59E7"/>
    <w:rsid w:val="09216CA7"/>
    <w:rsid w:val="093525C0"/>
    <w:rsid w:val="0C935806"/>
    <w:rsid w:val="0E06452B"/>
    <w:rsid w:val="0EBA15E6"/>
    <w:rsid w:val="0F2432E4"/>
    <w:rsid w:val="0FA7029B"/>
    <w:rsid w:val="0FAA6444"/>
    <w:rsid w:val="10365FBB"/>
    <w:rsid w:val="103F1337"/>
    <w:rsid w:val="104A7000"/>
    <w:rsid w:val="10B757BC"/>
    <w:rsid w:val="11E132E5"/>
    <w:rsid w:val="1200766C"/>
    <w:rsid w:val="12505D75"/>
    <w:rsid w:val="12DF739D"/>
    <w:rsid w:val="1420534C"/>
    <w:rsid w:val="152E64B4"/>
    <w:rsid w:val="153E61F1"/>
    <w:rsid w:val="15E05662"/>
    <w:rsid w:val="1651030E"/>
    <w:rsid w:val="16796078"/>
    <w:rsid w:val="177A1C19"/>
    <w:rsid w:val="17EB0CDE"/>
    <w:rsid w:val="1825256F"/>
    <w:rsid w:val="197232CD"/>
    <w:rsid w:val="19860EEF"/>
    <w:rsid w:val="1A2B77F4"/>
    <w:rsid w:val="1C1C0D86"/>
    <w:rsid w:val="1C360D2A"/>
    <w:rsid w:val="1D4D5CD3"/>
    <w:rsid w:val="1EBB1BA3"/>
    <w:rsid w:val="1FAF67D1"/>
    <w:rsid w:val="1FF218B4"/>
    <w:rsid w:val="234D348B"/>
    <w:rsid w:val="27DC36B5"/>
    <w:rsid w:val="29FD439E"/>
    <w:rsid w:val="2A070FB7"/>
    <w:rsid w:val="2B990067"/>
    <w:rsid w:val="2C4C53A8"/>
    <w:rsid w:val="2C5769FA"/>
    <w:rsid w:val="2D087E61"/>
    <w:rsid w:val="2D4349FC"/>
    <w:rsid w:val="2D7B23E8"/>
    <w:rsid w:val="2D900A65"/>
    <w:rsid w:val="2E657123"/>
    <w:rsid w:val="314A5DD3"/>
    <w:rsid w:val="31A4743B"/>
    <w:rsid w:val="31B71515"/>
    <w:rsid w:val="31F6203D"/>
    <w:rsid w:val="3264169D"/>
    <w:rsid w:val="337E678E"/>
    <w:rsid w:val="33833DA5"/>
    <w:rsid w:val="338B2C59"/>
    <w:rsid w:val="342D3EB7"/>
    <w:rsid w:val="35373099"/>
    <w:rsid w:val="354016EB"/>
    <w:rsid w:val="37734130"/>
    <w:rsid w:val="37D03394"/>
    <w:rsid w:val="37D44BCF"/>
    <w:rsid w:val="39522F81"/>
    <w:rsid w:val="3AE600DE"/>
    <w:rsid w:val="3CAD1E92"/>
    <w:rsid w:val="3E281786"/>
    <w:rsid w:val="3E7E5894"/>
    <w:rsid w:val="3FED4B04"/>
    <w:rsid w:val="413F3F71"/>
    <w:rsid w:val="42336996"/>
    <w:rsid w:val="42836415"/>
    <w:rsid w:val="42AF329B"/>
    <w:rsid w:val="42B15B0D"/>
    <w:rsid w:val="443B7BF5"/>
    <w:rsid w:val="45027F43"/>
    <w:rsid w:val="455C6B0D"/>
    <w:rsid w:val="462A1627"/>
    <w:rsid w:val="495D7467"/>
    <w:rsid w:val="49D54093"/>
    <w:rsid w:val="4BF97141"/>
    <w:rsid w:val="4C417F01"/>
    <w:rsid w:val="5165790B"/>
    <w:rsid w:val="51A8489D"/>
    <w:rsid w:val="53BF633F"/>
    <w:rsid w:val="56076719"/>
    <w:rsid w:val="56901C87"/>
    <w:rsid w:val="56F049FE"/>
    <w:rsid w:val="582D4CBE"/>
    <w:rsid w:val="591E4873"/>
    <w:rsid w:val="59205A6E"/>
    <w:rsid w:val="594C6615"/>
    <w:rsid w:val="599B50F5"/>
    <w:rsid w:val="59B81E6F"/>
    <w:rsid w:val="5EE12302"/>
    <w:rsid w:val="603E4A2C"/>
    <w:rsid w:val="60413278"/>
    <w:rsid w:val="60A70823"/>
    <w:rsid w:val="60D96503"/>
    <w:rsid w:val="614E6EF1"/>
    <w:rsid w:val="61EB7842"/>
    <w:rsid w:val="61ED04B8"/>
    <w:rsid w:val="63911317"/>
    <w:rsid w:val="63980E88"/>
    <w:rsid w:val="640135E7"/>
    <w:rsid w:val="64A82F69"/>
    <w:rsid w:val="658F3F7F"/>
    <w:rsid w:val="66207506"/>
    <w:rsid w:val="66CE4558"/>
    <w:rsid w:val="674C20BC"/>
    <w:rsid w:val="689B3FAD"/>
    <w:rsid w:val="69645783"/>
    <w:rsid w:val="6B8A321B"/>
    <w:rsid w:val="6C34506A"/>
    <w:rsid w:val="6C727F37"/>
    <w:rsid w:val="6C937EAD"/>
    <w:rsid w:val="6CB171CF"/>
    <w:rsid w:val="6CB30550"/>
    <w:rsid w:val="6CC14A1B"/>
    <w:rsid w:val="6CEF5734"/>
    <w:rsid w:val="6DF8446C"/>
    <w:rsid w:val="6E683B7B"/>
    <w:rsid w:val="70336132"/>
    <w:rsid w:val="708A7B5E"/>
    <w:rsid w:val="70967631"/>
    <w:rsid w:val="71712A8F"/>
    <w:rsid w:val="71E11004"/>
    <w:rsid w:val="748F37B8"/>
    <w:rsid w:val="74DD616A"/>
    <w:rsid w:val="75522D32"/>
    <w:rsid w:val="767B176E"/>
    <w:rsid w:val="771D518E"/>
    <w:rsid w:val="773921A8"/>
    <w:rsid w:val="778C35E0"/>
    <w:rsid w:val="77BE6726"/>
    <w:rsid w:val="7973709D"/>
    <w:rsid w:val="7AC85234"/>
    <w:rsid w:val="7AE71AF0"/>
    <w:rsid w:val="7B0A57DF"/>
    <w:rsid w:val="7B8D0DA4"/>
    <w:rsid w:val="7DCC1471"/>
    <w:rsid w:val="7F0E2B74"/>
    <w:rsid w:val="7FA31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2357</Words>
  <Characters>2409</Characters>
  <Lines>0</Lines>
  <Paragraphs>0</Paragraphs>
  <TotalTime>8</TotalTime>
  <ScaleCrop>false</ScaleCrop>
  <LinksUpToDate>false</LinksUpToDate>
  <CharactersWithSpaces>2409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2025-07-24T07:36:00Z</dcterms:created>
  <dc:creator>曹芷薇</dc:creator>
  <cp:lastModifiedBy>admin</cp:lastModifiedBy>
  <dcterms:modified xsi:type="dcterms:W3CDTF">2026-04-01T09:00:00Z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BCD6472C97954CD2A44955438B9D9B66_13</vt:lpwstr>
  </property>
  <property fmtid="{D5CDD505-2E9C-101B-9397-08002B2CF9AE}" pid="4" name="KSOTemplateDocerSaveRecord">
    <vt:lpwstr>eyJoZGlkIjoiZmFlNjQyNGUwZjljMWM4ZWRkMmUyY2FjYWVlMjRjYmIiLCJ1c2VySWQiOiIyMjIxNzk5MDIifQ==</vt:lpwstr>
  </property>
</Properties>
</file>