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08E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bookmarkStart w:id="3" w:name="_GoBack"/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以“一核两翼”工作模式</w:t>
      </w:r>
    </w:p>
    <w:p w14:paraId="349957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提质增效筑牢工伤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预防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防线</w:t>
      </w:r>
    </w:p>
    <w:bookmarkEnd w:id="3"/>
    <w:p w14:paraId="5E10AD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640" w:lineRule="exact"/>
        <w:jc w:val="both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 w14:paraId="2E1002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2025年，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我局</w:t>
      </w:r>
      <w:r>
        <w:rPr>
          <w:rFonts w:hint="eastAsia" w:ascii="仿宋_GB2312" w:hAnsi="仿宋_GB2312" w:eastAsia="仿宋_GB2312" w:cs="仿宋_GB2312"/>
          <w:sz w:val="32"/>
          <w:szCs w:val="32"/>
        </w:rPr>
        <w:t>深入贯彻落实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《四川省工伤预防五年行动方案（2021—2025年）》，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围绕降低工伤事故发生率核心目标，</w:t>
      </w:r>
      <w:r>
        <w:rPr>
          <w:rFonts w:hint="eastAsia" w:ascii="仿宋_GB2312" w:hAnsi="仿宋_GB2312" w:eastAsia="仿宋_GB2312" w:cs="仿宋_GB2312"/>
          <w:sz w:val="32"/>
          <w:szCs w:val="32"/>
        </w:rPr>
        <w:t>创新构建“一核两翼”工伤预防工作体系，推动工伤预防工作向科学化、精准化、常态化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发展</w:t>
      </w:r>
      <w:r>
        <w:rPr>
          <w:rFonts w:hint="eastAsia" w:ascii="仿宋_GB2312" w:hAnsi="仿宋_GB2312" w:eastAsia="仿宋_GB2312" w:cs="仿宋_GB2312"/>
          <w:sz w:val="32"/>
          <w:szCs w:val="32"/>
        </w:rPr>
        <w:t>。现将2025年度工伤预防项目实施情况汇报如下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48F76A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bookmarkStart w:id="0" w:name="heading_0"/>
      <w:r>
        <w:rPr>
          <w:rFonts w:hint="eastAsia" w:ascii="黑体" w:hAnsi="黑体" w:eastAsia="黑体" w:cs="黑体"/>
          <w:sz w:val="32"/>
          <w:szCs w:val="32"/>
        </w:rPr>
        <w:t>一、深耕数据赋能，锚定精准施策之核</w:t>
      </w:r>
      <w:bookmarkEnd w:id="0"/>
    </w:p>
    <w:p w14:paraId="1FA2EE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以数据驱动为核心抓手，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推动工伤预防工作从“经验驱动”向“数据驱动”迭代转型，</w:t>
      </w:r>
      <w:r>
        <w:rPr>
          <w:rFonts w:hint="eastAsia" w:ascii="仿宋_GB2312" w:hAnsi="仿宋_GB2312" w:eastAsia="仿宋_GB2312" w:cs="仿宋_GB2312"/>
          <w:sz w:val="32"/>
          <w:szCs w:val="32"/>
        </w:rPr>
        <w:t>为全市工伤预防各项工作筑牢科学根基。</w:t>
      </w:r>
    </w:p>
    <w:p w14:paraId="671FBF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一）</w:t>
      </w:r>
      <w:r>
        <w:rPr>
          <w:rFonts w:hint="eastAsia" w:ascii="楷体" w:hAnsi="楷体" w:eastAsia="楷体" w:cs="楷体"/>
          <w:sz w:val="32"/>
          <w:szCs w:val="32"/>
        </w:rPr>
        <w:t>深挖数据资源，精准研判风险态势</w:t>
      </w:r>
    </w:p>
    <w:p w14:paraId="07BEF9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依托第三方专业技术力量，系统梳理全市历年工伤事故大数据，围绕伤害类型、行业分布、岗位风险等核心维度开展全方位、深层次分析，精准锁定工伤风险高发领域、重点企业和人群，全面摸清全市工伤风险底数，构建数据清晰、靶向明确的工伤风险数据库，为精准施策提供坚实的数据支撑。</w:t>
      </w:r>
    </w:p>
    <w:p w14:paraId="22F6E8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二）</w:t>
      </w:r>
      <w:r>
        <w:rPr>
          <w:rFonts w:hint="eastAsia" w:ascii="楷体" w:hAnsi="楷体" w:eastAsia="楷体" w:cs="楷体"/>
          <w:sz w:val="32"/>
          <w:szCs w:val="32"/>
        </w:rPr>
        <w:t>依托数据成果，科学谋划工作布局</w:t>
      </w:r>
    </w:p>
    <w:p w14:paraId="1E4319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立足大数据研判结果，精准划定年度工伤预防工作重点方向、目标企业和重点人群，针对性制定项目实施方案，细化工作举措、明确责任分工、优化资源配置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实现工伤预防工作科学决策、精准部署、高效落地，全面提升工作的针对性、科学性和实效性。</w:t>
      </w:r>
    </w:p>
    <w:p w14:paraId="5D70C6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bookmarkStart w:id="1" w:name="heading_1"/>
      <w:r>
        <w:rPr>
          <w:rFonts w:hint="eastAsia" w:ascii="黑体" w:hAnsi="黑体" w:eastAsia="黑体" w:cs="黑体"/>
          <w:sz w:val="32"/>
          <w:szCs w:val="32"/>
        </w:rPr>
        <w:t>二、抓实精准治理，夯实隐患防控之翼</w:t>
      </w:r>
      <w:bookmarkEnd w:id="1"/>
    </w:p>
    <w:p w14:paraId="1E1121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以数据研判核心成果为依托，构建“隐患排查+整改回访+专项培训”全闭环治理机制，打通工伤预防落地见效“最后一公里”，筑牢安全生产硬防线。</w:t>
      </w:r>
    </w:p>
    <w:p w14:paraId="1461DE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一）</w:t>
      </w:r>
      <w:r>
        <w:rPr>
          <w:rFonts w:hint="eastAsia" w:ascii="楷体" w:hAnsi="楷体" w:eastAsia="楷体" w:cs="楷体"/>
          <w:sz w:val="32"/>
          <w:szCs w:val="32"/>
        </w:rPr>
        <w:t>聚焦重点主体，开展闭环隐患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治理</w:t>
      </w:r>
    </w:p>
    <w:p w14:paraId="6B9BCB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精准筛选40家工伤风险较高的重点用人单位及在建工程项目，组建专业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团队</w:t>
      </w:r>
      <w:r>
        <w:rPr>
          <w:rFonts w:hint="eastAsia" w:ascii="仿宋_GB2312" w:hAnsi="仿宋_GB2312" w:eastAsia="仿宋_GB2312" w:cs="仿宋_GB2312"/>
          <w:sz w:val="32"/>
          <w:szCs w:val="32"/>
        </w:rPr>
        <w:t>，深入企业车间、施工一线开展全方位隐患排查，重点排查设备操作、现场管理、防护措施、作业规范等关键环节风险隐患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累计排查各类工伤安全隐患981条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建立问题台账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实行“一隐患一整改、一问题一销号”管理模式，常态化开展整改回访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巡查</w:t>
      </w:r>
      <w:r>
        <w:rPr>
          <w:rFonts w:hint="eastAsia" w:ascii="仿宋_GB2312" w:hAnsi="仿宋_GB2312" w:eastAsia="仿宋_GB2312" w:cs="仿宋_GB2312"/>
          <w:sz w:val="32"/>
          <w:szCs w:val="32"/>
        </w:rPr>
        <w:t>，动态跟踪整改进度、核查整改成效，累计完成隐患整改823条，隐患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平均</w:t>
      </w:r>
      <w:r>
        <w:rPr>
          <w:rFonts w:hint="eastAsia" w:ascii="仿宋_GB2312" w:hAnsi="仿宋_GB2312" w:eastAsia="仿宋_GB2312" w:cs="仿宋_GB2312"/>
          <w:sz w:val="32"/>
          <w:szCs w:val="32"/>
        </w:rPr>
        <w:t>整改率达83.89%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4CDB44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（二）聚焦岗位短板，开展精准赋能培训</w:t>
      </w:r>
    </w:p>
    <w:p w14:paraId="6B84BB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立足不同行业、不同岗位风险特性，针对性开展定制化、专项化工伤预防培训，补齐企业安全管理短板和职工安全能力弱项。面向重点用人单位开展定制化培训，普及工伤预防基础知识、岗位安全操作规范；面向在建项目管理人员开展专项培训，强化施工现场安全监管、风险处置能力；聚焦大龄职工群体健康风险，开展心脑血管疾病预防专项培训，切实防范职业健康事故发生。累计开展各类工伤预防专项培训80场，参训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人数达</w:t>
      </w:r>
      <w:r>
        <w:rPr>
          <w:rFonts w:hint="eastAsia" w:ascii="仿宋_GB2312" w:hAnsi="仿宋_GB2312" w:eastAsia="仿宋_GB2312" w:cs="仿宋_GB2312"/>
          <w:sz w:val="32"/>
          <w:szCs w:val="32"/>
        </w:rPr>
        <w:t>3977人次</w:t>
      </w:r>
      <w:bookmarkStart w:id="2" w:name="heading_2"/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014A02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三、深化全域宣教，筑牢思想防护之翼</w:t>
      </w:r>
      <w:bookmarkEnd w:id="2"/>
    </w:p>
    <w:p w14:paraId="2B38A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坚持治理与宣传同步推进，构建“线上全覆盖、线下深渗透”的全域宣教体系，全方位普及工伤预防知识，推动预防优先理念入企、入岗、入心，从思想根源上筑牢工伤预防坚固防线。</w:t>
      </w:r>
    </w:p>
    <w:p w14:paraId="314A1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（一）线下宣传贴近基层、融入日常</w:t>
      </w:r>
    </w:p>
    <w:p w14:paraId="17771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聚焦建筑业、制造业、采矿业等高危重点行业，结合行业生产特性、岗位风险特点，量身定制警示教育视频、宣传横幅、科普手册等系列宣传物料，全覆盖投放至企业生产车间、项目施工一线，将工伤预防宣传教育融入企业日常安全生产例会、班前安全教育当中，引导企业落实工伤预防主体责任、职工严守操作规范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筑牢职工安全思想防线。</w:t>
      </w:r>
    </w:p>
    <w:p w14:paraId="2A91B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（二）线上宣传精准触达、全域覆盖</w:t>
      </w:r>
    </w:p>
    <w:p w14:paraId="4B437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依托大数据精准研判，精准锁定全市工伤风险较高的职工群体，靶向推送工伤预防、职业病防治科普短信30万条，实现高危人群精准触达、精准科普。积极整合主流媒体宣传资源，依托国家级、省级、市级媒体平台及门户网站等多元渠道，刊发工伤预防工作相关报道21篇次，全方位、多角度展示雅安工伤预防工作成果，营造全社会重视工伤预防、参与工伤预防的良好氛围。</w:t>
      </w:r>
    </w:p>
    <w:p w14:paraId="3334B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项目实施以来，全市广大劳动者的工伤预防意识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能力显著提升，重点企业、重点项目安全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管理制度更加完善，企业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工伤预防主体责任落实更加到位。项目实施期间，纳入治理范围的40家重点用人单位及在建项目工伤事故发生率同比下降XX%。</w:t>
      </w:r>
    </w:p>
    <w:p w14:paraId="78A0CC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下一步，我局将持续巩固拓展工伤预防工作成果，持续深化“一核两翼”工作模式，不断优化数据研判精度、细化精准治理举措、深化全域宣教成效，健全常态化、制度化、规范化工伤预防工作机制，全力守护广大劳动者生命安全和身体健康，为全市安全生产形势持续稳定向好保驾护航。</w:t>
      </w:r>
    </w:p>
    <w:p w14:paraId="1A2566EB">
      <w:pPr>
        <w:pStyle w:val="2"/>
        <w:rPr>
          <w:rFonts w:hint="eastAsia"/>
          <w:lang w:val="en-US" w:eastAsia="zh-CN"/>
        </w:rPr>
      </w:pPr>
    </w:p>
    <w:p w14:paraId="59A6BD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雅安市人力资源和社会保障局</w:t>
      </w:r>
    </w:p>
    <w:p w14:paraId="207AE8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jc w:val="center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 2026年6月18日</w:t>
      </w:r>
    </w:p>
    <w:sectPr>
      <w:headerReference r:id="rId4" w:type="default"/>
      <w:footerReference r:id="rId5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A1742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C7E0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865ADB"/>
    <w:rsid w:val="3886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adjustRightInd w:val="0"/>
      <w:snapToGrid w:val="0"/>
      <w:spacing w:after="200"/>
    </w:pPr>
    <w:rPr>
      <w:rFonts w:ascii="Tahoma" w:hAnsi="Tahoma" w:eastAsia="宋体" w:cs="Times New Roman"/>
      <w:sz w:val="22"/>
      <w:szCs w:val="22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69d68254-e241-48a3-9bf4-96e9918c421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2026-06-18T02:01:00Z</dcterms:created>
  <dc:creator>Show</dc:creator>
  <cp:lastModifiedBy>Show</cp:lastModifiedBy>
  <dcterms:modified xsi:type="dcterms:W3CDTF">2026-06-18T02:32:55Z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3A26E20D1527494CA5064A94654C8517_11</vt:lpwstr>
  </property>
  <property fmtid="{D5CDD505-2E9C-101B-9397-08002B2CF9AE}" pid="4" name="KSOTemplateDocerSaveRecord">
    <vt:lpwstr>eyJoZGlkIjoiNjI2YjZhOGViZTZhNjg0ODhkNDM4MTE4MTM4ODNhNjAiLCJ1c2VySWQiOiIzNjQ5MTEyNzgifQ==</vt:lpwstr>
  </property>
</Properties>
</file>