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70EE8">
      <w:pPr>
        <w:jc w:val="center"/>
        <w:outlineLvl w:val="0"/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</w:pPr>
      <w:bookmarkStart w:id="0" w:name="OLE_LINK1"/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  <w:t>玉溪市2026年工伤预防项目</w:t>
      </w:r>
      <w:bookmarkEnd w:id="0"/>
    </w:p>
    <w:p w14:paraId="40FF124B">
      <w:pPr>
        <w:spacing w:line="1400" w:lineRule="exact"/>
        <w:jc w:val="center"/>
        <w:outlineLvl w:val="0"/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</w:pPr>
      <w:r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  <w:t>宣</w:t>
      </w:r>
    </w:p>
    <w:p w14:paraId="65485CCD">
      <w:pPr>
        <w:spacing w:line="1400" w:lineRule="exact"/>
        <w:jc w:val="center"/>
        <w:outlineLvl w:val="0"/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</w:pPr>
      <w:r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  <w:t>传</w:t>
      </w:r>
    </w:p>
    <w:p w14:paraId="5DF3BDB8">
      <w:pPr>
        <w:spacing w:line="1400" w:lineRule="exact"/>
        <w:jc w:val="center"/>
        <w:outlineLvl w:val="0"/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</w:pPr>
      <w:r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  <w:t>亮</w:t>
      </w:r>
    </w:p>
    <w:p w14:paraId="3E11261F">
      <w:pPr>
        <w:spacing w:line="1400" w:lineRule="exact"/>
        <w:jc w:val="center"/>
        <w:outlineLvl w:val="0"/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</w:pPr>
      <w:r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  <w:t>点</w:t>
      </w:r>
    </w:p>
    <w:p w14:paraId="59077C8D">
      <w:pPr>
        <w:spacing w:line="1400" w:lineRule="exact"/>
        <w:jc w:val="center"/>
        <w:outlineLvl w:val="0"/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</w:pPr>
      <w:r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  <w:t>方</w:t>
      </w:r>
    </w:p>
    <w:p w14:paraId="162A098E">
      <w:pPr>
        <w:spacing w:line="1400" w:lineRule="exact"/>
        <w:jc w:val="center"/>
        <w:outlineLvl w:val="0"/>
        <w:rPr>
          <w:rFonts w:hint="default" w:ascii="Times New Roman" w:hAnsi="Times New Roman" w:eastAsia="方正小标宋简体" w:cs="Times New Roman"/>
          <w:bCs/>
          <w:kern w:val="44"/>
          <w:sz w:val="72"/>
          <w:szCs w:val="72"/>
          <w:highlight w:val="none"/>
          <w:shd w:val="clear" w:color="auto" w:fill="FFFFFF"/>
          <w:lang w:bidi="ar"/>
        </w:rPr>
      </w:pPr>
      <w:r>
        <w:rPr>
          <w:rFonts w:hint="default" w:ascii="Times New Roman" w:hAnsi="Times New Roman" w:eastAsia="方正小标宋简体" w:cs="Times New Roman"/>
          <w:sz w:val="72"/>
          <w:szCs w:val="72"/>
          <w:highlight w:val="none"/>
        </w:rPr>
        <w:t>案</w:t>
      </w:r>
    </w:p>
    <w:p w14:paraId="2E20D285">
      <w:pPr>
        <w:outlineLvl w:val="0"/>
        <w:rPr>
          <w:rFonts w:hint="default" w:ascii="Times New Roman" w:hAnsi="Times New Roman" w:eastAsia="方正小标宋简体" w:cs="Times New Roman"/>
          <w:bCs/>
          <w:kern w:val="44"/>
          <w:sz w:val="44"/>
          <w:szCs w:val="44"/>
          <w:highlight w:val="none"/>
          <w:shd w:val="clear" w:color="auto" w:fill="FFFFFF"/>
          <w:lang w:bidi="ar"/>
        </w:rPr>
      </w:pPr>
    </w:p>
    <w:p w14:paraId="7E13BEC7">
      <w:pPr>
        <w:jc w:val="center"/>
        <w:rPr>
          <w:rFonts w:hint="default" w:ascii="Times New Roman" w:hAnsi="Times New Roman" w:eastAsia="楷体_GB2312" w:cs="Times New Roman"/>
          <w:bCs/>
          <w:szCs w:val="32"/>
          <w:highlight w:val="none"/>
          <w:shd w:val="clear" w:color="auto" w:fill="FFFFFF"/>
          <w:lang w:eastAsia="zh-Hans"/>
        </w:rPr>
      </w:pPr>
      <w:r>
        <w:rPr>
          <w:rFonts w:hint="default" w:ascii="Times New Roman" w:hAnsi="Times New Roman" w:eastAsia="楷体_GB2312" w:cs="Times New Roman"/>
          <w:bCs/>
          <w:szCs w:val="32"/>
          <w:highlight w:val="none"/>
          <w:shd w:val="clear" w:color="auto" w:fill="FFFFFF"/>
          <w:lang w:eastAsia="zh-Hans"/>
        </w:rPr>
        <w:t>成都易训企业管理咨询有限公司</w:t>
      </w:r>
    </w:p>
    <w:p w14:paraId="7D3A608A">
      <w:pPr>
        <w:jc w:val="center"/>
        <w:rPr>
          <w:rFonts w:hint="default" w:ascii="Times New Roman" w:hAnsi="Times New Roman" w:eastAsia="楷体_GB2312" w:cs="Times New Roman"/>
          <w:bCs/>
          <w:szCs w:val="32"/>
          <w:highlight w:val="none"/>
          <w:shd w:val="clear" w:color="auto" w:fill="FFFFFF"/>
          <w:lang w:eastAsia="zh-Hans"/>
        </w:rPr>
      </w:pPr>
      <w:bookmarkStart w:id="1" w:name="_Toc1510"/>
      <w:bookmarkStart w:id="2" w:name="_Toc29970"/>
      <w:bookmarkStart w:id="3" w:name="_Toc11524"/>
      <w:bookmarkStart w:id="4" w:name="_Toc24990"/>
      <w:bookmarkStart w:id="5" w:name="_Toc18242"/>
      <w:bookmarkStart w:id="6" w:name="_Toc4855"/>
      <w:bookmarkStart w:id="7" w:name="_Toc14938"/>
      <w:bookmarkStart w:id="8" w:name="_Toc24989"/>
      <w:bookmarkStart w:id="9" w:name="_Toc24696"/>
      <w:bookmarkStart w:id="10" w:name="_Toc19950"/>
      <w:bookmarkStart w:id="11" w:name="_Toc10088"/>
      <w:bookmarkStart w:id="12" w:name="_Toc1797"/>
      <w:bookmarkStart w:id="13" w:name="_Toc17960"/>
      <w:bookmarkStart w:id="14" w:name="_Toc14332"/>
      <w:bookmarkStart w:id="15" w:name="_Toc14713"/>
      <w:bookmarkStart w:id="16" w:name="_Toc30644"/>
      <w:bookmarkStart w:id="17" w:name="_Toc20354"/>
      <w:r>
        <w:rPr>
          <w:rFonts w:hint="default" w:ascii="Times New Roman" w:hAnsi="Times New Roman" w:eastAsia="楷体_GB2312" w:cs="Times New Roman"/>
          <w:bCs/>
          <w:szCs w:val="32"/>
          <w:highlight w:val="none"/>
          <w:shd w:val="clear" w:color="auto" w:fill="FFFFFF"/>
        </w:rPr>
        <w:t>202</w:t>
      </w:r>
      <w:r>
        <w:rPr>
          <w:rFonts w:hint="default" w:ascii="Times New Roman" w:hAnsi="Times New Roman" w:eastAsia="楷体_GB2312" w:cs="Times New Roman"/>
          <w:bCs/>
          <w:szCs w:val="32"/>
          <w:highlight w:val="none"/>
          <w:shd w:val="clear" w:color="auto" w:fill="FFFFFF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bCs/>
          <w:szCs w:val="32"/>
          <w:highlight w:val="none"/>
          <w:shd w:val="clear" w:color="auto" w:fill="FFFFFF"/>
          <w:lang w:eastAsia="zh-Hans"/>
        </w:rPr>
        <w:t>年</w:t>
      </w:r>
      <w:r>
        <w:rPr>
          <w:rFonts w:hint="default" w:ascii="Times New Roman" w:hAnsi="Times New Roman" w:eastAsia="楷体_GB2312" w:cs="Times New Roman"/>
          <w:bCs/>
          <w:szCs w:val="32"/>
          <w:highlight w:val="none"/>
          <w:shd w:val="clear" w:color="auto" w:fill="FFFFFF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bCs/>
          <w:szCs w:val="32"/>
          <w:highlight w:val="none"/>
          <w:shd w:val="clear" w:color="auto" w:fill="FFFFFF"/>
          <w:lang w:eastAsia="zh-Hans"/>
        </w:rPr>
        <w:t>月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08E81423">
      <w:pPr>
        <w:outlineLvl w:val="0"/>
        <w:rPr>
          <w:rFonts w:hint="default" w:ascii="Times New Roman" w:hAnsi="Times New Roman" w:eastAsia="方正小标宋简体" w:cs="Times New Roman"/>
          <w:bCs/>
          <w:kern w:val="44"/>
          <w:sz w:val="44"/>
          <w:szCs w:val="44"/>
          <w:highlight w:val="none"/>
          <w:shd w:val="clear" w:color="auto" w:fill="FFFFFF"/>
          <w:lang w:bidi="ar"/>
        </w:rPr>
        <w:sectPr>
          <w:footerReference r:id="rId3" w:type="even"/>
          <w:pgSz w:w="11906" w:h="16838"/>
          <w:pgMar w:top="2098" w:right="1474" w:bottom="1985" w:left="1588" w:header="851" w:footer="992" w:gutter="0"/>
          <w:cols w:space="425" w:num="1"/>
          <w:docGrid w:type="lines" w:linePitch="312" w:charSpace="0"/>
        </w:sectPr>
      </w:pPr>
    </w:p>
    <w:p w14:paraId="3FA3FC89">
      <w:pPr>
        <w:overflowPunct w:val="0"/>
        <w:ind w:firstLine="632" w:firstLineChars="200"/>
        <w:outlineLvl w:val="0"/>
        <w:rPr>
          <w:rFonts w:hint="default" w:ascii="Times New Roman" w:hAnsi="Times New Roman" w:eastAsia="黑体" w:cs="Times New Roman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zCs w:val="32"/>
          <w:highlight w:val="none"/>
        </w:rPr>
        <w:t>一、指导思想</w:t>
      </w:r>
    </w:p>
    <w:p w14:paraId="379CB471">
      <w:pPr>
        <w:overflowPunct w:val="0"/>
        <w:ind w:firstLine="632" w:firstLineChars="200"/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val="en-US" w:eastAsia="zh-CN" w:bidi="ar"/>
        </w:rPr>
        <w:t>以习近平新时代中国特色社会主义思想为指导，全面贯彻落实党的二十大关于“健全国家安全体系，提升公共安全治理水平”的重要部署，以及《工伤预防五年行动计划（2026—2030年）》的新要求。紧扣玉溪市“两区两城”发展定位，坚持以人民为中心，围绕降低工伤事故和职业病发生率核心目标，推动工伤预防工作向数智治理、精准滴灌转型升级，织密织牢玉溪市工伤预防安全网，为玉溪市经济社会高质量发展筑牢安全屏障。</w:t>
      </w:r>
    </w:p>
    <w:p w14:paraId="5756DD58">
      <w:pPr>
        <w:overflowPunct w:val="0"/>
        <w:ind w:firstLine="632" w:firstLineChars="200"/>
        <w:outlineLvl w:val="0"/>
        <w:rPr>
          <w:rFonts w:hint="default" w:ascii="Times New Roman" w:hAnsi="Times New Roman" w:eastAsia="黑体" w:cs="Times New Roman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zCs w:val="32"/>
          <w:highlight w:val="none"/>
        </w:rPr>
        <w:t>二、背景分析</w:t>
      </w:r>
    </w:p>
    <w:p w14:paraId="13B5370A">
      <w:pPr>
        <w:overflowPunct w:val="0"/>
        <w:ind w:firstLine="632" w:firstLineChars="200"/>
        <w:rPr>
          <w:rFonts w:hint="default" w:ascii="Times New Roman" w:hAnsi="Times New Roman" w:cs="Times New Roman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Cs w:val="32"/>
          <w:highlight w:val="none"/>
          <w:lang w:val="en-US" w:eastAsia="zh-CN"/>
        </w:rPr>
        <w:t>（一）《工伤预防五年行动计划（2026—2030年）》明确提出要推动工伤预防向更精准、更高效、更智能的方向发展，特别强调要关注危险化学品、建筑施工、机械制造等重点行业，以及新就业形态人员的职业伤害保障。本年度项目将紧扣新五年计划的开局要求，为未来五年玉溪市工伤预防工作奠定坚实基础。</w:t>
      </w:r>
    </w:p>
    <w:p w14:paraId="47B31DC5">
      <w:pPr>
        <w:overflowPunct w:val="0"/>
        <w:ind w:firstLine="632" w:firstLineChars="200"/>
        <w:rPr>
          <w:rFonts w:hint="default" w:ascii="Times New Roman" w:hAnsi="Times New Roman" w:cs="Times New Roman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Cs w:val="32"/>
          <w:highlight w:val="none"/>
          <w:lang w:val="en-US" w:eastAsia="zh-CN"/>
        </w:rPr>
        <w:t>（二）根据《玉溪市2026年工伤预防项目合同书》要求，本项目需实现重点行业工伤事故发生率降低10%。为此，项目将依托大数据手段对全市工伤事故进行深度分析，精准锁定40家重点企业实施动态治理。同时，通过数字化手段（大数据彩铃、电子围栏短信）对“应参未参”群体进行精准触达，破解参保扩面难题，确保工伤保险基金更加稳健运行。</w:t>
      </w:r>
    </w:p>
    <w:p w14:paraId="106BE6C9">
      <w:pPr>
        <w:overflowPunct w:val="0"/>
        <w:ind w:firstLine="632" w:firstLineChars="200"/>
        <w:rPr>
          <w:rFonts w:hint="default" w:ascii="Times New Roman" w:hAnsi="Times New Roman" w:cs="Times New Roman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Cs w:val="32"/>
          <w:highlight w:val="none"/>
          <w:lang w:val="en-US" w:eastAsia="zh-CN"/>
        </w:rPr>
        <w:t>（三）项目将重点打造“三个一小时”入企服务，建立“一企一策”档案；同时，针对不同行业特点，设计差异化课程，并引入MG动画等群众喜闻乐见的形式，让工伤预防知识“看得懂、记得住、用得上”，最终实现企业和职工满意度的双提升。</w:t>
      </w:r>
    </w:p>
    <w:p w14:paraId="1D00F7F4">
      <w:pPr>
        <w:overflowPunct w:val="0"/>
        <w:ind w:firstLine="632" w:firstLineChars="200"/>
        <w:outlineLvl w:val="0"/>
        <w:rPr>
          <w:rFonts w:hint="default" w:ascii="Times New Roman" w:hAnsi="Times New Roman" w:eastAsia="黑体" w:cs="Times New Roman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zCs w:val="32"/>
          <w:highlight w:val="none"/>
        </w:rPr>
        <w:t>三、项目亮点</w:t>
      </w:r>
    </w:p>
    <w:p w14:paraId="1E0A26F9">
      <w:pPr>
        <w:pStyle w:val="2"/>
        <w:overflowPunct w:val="0"/>
        <w:ind w:firstLine="632"/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  <w:t>（一）数据驱动，实现工伤风险的动态感知与精准干预</w:t>
      </w:r>
    </w:p>
    <w:p w14:paraId="7E3AA980">
      <w:pPr>
        <w:pStyle w:val="2"/>
        <w:overflowPunct w:val="0"/>
        <w:ind w:firstLine="63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依托全市历史工伤数据和周度数据更新机制，建立工伤事故动态监测模型。一方面，通过对行业、岗位、基金支出等多维数据的深度分析，精准识别</w:t>
      </w:r>
      <w:r>
        <w:rPr>
          <w:rFonts w:hint="default" w:ascii="Times New Roman" w:hAnsi="Times New Roman" w:cs="Times New Roman"/>
          <w:kern w:val="2"/>
          <w:sz w:val="32"/>
          <w:szCs w:val="32"/>
          <w:highlight w:val="none"/>
          <w:lang w:val="en-US" w:eastAsia="zh-CN" w:bidi="ar-SA"/>
        </w:rPr>
        <w:t>工伤高发企业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，形成前期数据分析报告，为项目布局提供科学依据。另一方面，对40家重点企业建立“工伤触发模型”，根据数据变化自动匹配治理措施，实现从被动响应到主动预警的转变。</w:t>
      </w:r>
    </w:p>
    <w:p w14:paraId="7F7F6A4D">
      <w:pPr>
        <w:pStyle w:val="2"/>
        <w:overflowPunct w:val="0"/>
        <w:ind w:firstLine="63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  <w:t>（二）靶向治理，形成重点企业“一企一策”的闭环服务</w:t>
      </w:r>
    </w:p>
    <w:p w14:paraId="0D5F3725">
      <w:pPr>
        <w:pStyle w:val="2"/>
        <w:overflowPunct w:val="0"/>
        <w:ind w:firstLine="63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围绕40家重点企业，推出“三个一小时”深度治理服务：安全专家入企开展现场隐患排查，出具个性化“体检报告”；结合隐患数据为企业负责人、安全管理人员及一线职工开展定制化培训；调研企业安全管理体系，形成工伤预防分析报告。通过“排查—培训—复查</w:t>
      </w:r>
      <w:r>
        <w:rPr>
          <w:rFonts w:hint="default" w:ascii="Times New Roman" w:hAnsi="Times New Roman" w:cs="Times New Roman"/>
          <w:kern w:val="2"/>
          <w:sz w:val="32"/>
          <w:szCs w:val="32"/>
          <w:highlight w:val="none"/>
          <w:lang w:val="en-US" w:eastAsia="zh-CN" w:bidi="ar-SA"/>
        </w:rPr>
        <w:t>—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整改—</w:t>
      </w:r>
      <w:r>
        <w:rPr>
          <w:rFonts w:hint="default" w:ascii="Times New Roman" w:hAnsi="Times New Roman" w:cs="Times New Roman"/>
          <w:kern w:val="2"/>
          <w:sz w:val="32"/>
          <w:szCs w:val="32"/>
          <w:highlight w:val="none"/>
          <w:lang w:val="en-US" w:eastAsia="zh-CN" w:bidi="ar-SA"/>
        </w:rPr>
        <w:t>提升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”的闭环流程，确保治理措施精准落地、整改成效可追溯。</w:t>
      </w:r>
    </w:p>
    <w:p w14:paraId="380E76E6">
      <w:pPr>
        <w:pStyle w:val="2"/>
        <w:overflowPunct w:val="0"/>
        <w:ind w:firstLine="63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  <w:t>（三）多元传播，构建“视、听、触”融合的宣传矩阵</w:t>
      </w:r>
    </w:p>
    <w:p w14:paraId="72C74F5D">
      <w:pPr>
        <w:pStyle w:val="2"/>
        <w:overflowPunct w:val="0"/>
        <w:ind w:firstLine="63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在视觉层面，结合玉溪高发事故岗位特征，制作20部MG动画警示教育片，以生动的形式提升宣教感染力。在听觉层面，投放5万次工伤预防知识彩铃视频，将通话等待时间转化为宣传触点。在触达层面，发送5万条电子围栏短信，精准覆盖参保扩面目标人群。此外，通过国家、省、市级媒体报道及微信公众号知识推文，形成线上线下联动、立体覆盖的宣传格局，有效提升工伤预防的社会知晓度和参保积极性。</w:t>
      </w:r>
    </w:p>
    <w:p w14:paraId="2CBE6C5C">
      <w:pPr>
        <w:pStyle w:val="2"/>
        <w:overflowPunct w:val="0"/>
        <w:ind w:firstLine="632"/>
        <w:rPr>
          <w:rFonts w:hint="default" w:ascii="Times New Roman" w:hAnsi="Times New Roman" w:eastAsia="黑体" w:cs="Times New Roman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szCs w:val="32"/>
          <w:highlight w:val="none"/>
          <w:lang w:val="en-US" w:eastAsia="zh-CN"/>
        </w:rPr>
        <w:t>四</w:t>
      </w:r>
      <w:r>
        <w:rPr>
          <w:rFonts w:hint="default" w:ascii="Times New Roman" w:hAnsi="Times New Roman" w:eastAsia="黑体" w:cs="Times New Roman"/>
          <w:szCs w:val="32"/>
          <w:highlight w:val="none"/>
        </w:rPr>
        <w:t>、项目目标</w:t>
      </w:r>
    </w:p>
    <w:p w14:paraId="379E2857">
      <w:pPr>
        <w:overflowPunct w:val="0"/>
        <w:ind w:firstLine="632" w:firstLineChars="200"/>
        <w:outlineLvl w:val="0"/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  <w:t>（一）核心降数目标</w:t>
      </w:r>
    </w:p>
    <w:p w14:paraId="2BA129CB">
      <w:pPr>
        <w:overflowPunct w:val="0"/>
        <w:ind w:firstLine="632" w:firstLineChars="200"/>
        <w:outlineLvl w:val="0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通过专业化宣传培训和精准化治理，实现危险化学品、建筑施工、机械制造等重点行业工伤事故发生率同比降低10%。</w:t>
      </w:r>
    </w:p>
    <w:p w14:paraId="6010DEEC">
      <w:pPr>
        <w:overflowPunct w:val="0"/>
        <w:ind w:firstLine="632" w:firstLineChars="200"/>
        <w:outlineLvl w:val="0"/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  <w:t>（二）参保扩面目标</w:t>
      </w:r>
    </w:p>
    <w:p w14:paraId="62FC4A60">
      <w:pPr>
        <w:numPr>
          <w:ilvl w:val="0"/>
          <w:numId w:val="0"/>
        </w:numPr>
        <w:overflowPunct w:val="0"/>
        <w:ind w:firstLine="632" w:firstLineChars="200"/>
        <w:outlineLvl w:val="0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通过大数据精准推送和线下主题宣传，实现全市工伤保险参保覆盖面有效扩大，基金运行更加稳健。</w:t>
      </w:r>
    </w:p>
    <w:p w14:paraId="614C4F40">
      <w:pPr>
        <w:overflowPunct w:val="0"/>
        <w:ind w:firstLine="632" w:firstLineChars="200"/>
        <w:outlineLvl w:val="0"/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  <w:t>（三）满意度目标</w:t>
      </w:r>
    </w:p>
    <w:p w14:paraId="563F0F2F">
      <w:pPr>
        <w:overflowPunct w:val="0"/>
        <w:ind w:firstLine="632" w:firstLineChars="200"/>
        <w:outlineLvl w:val="0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受培训企业和职工的满意度超过90%，企业主要负责人及一线职工的工伤预防意识和实操能力显著提升。</w:t>
      </w:r>
    </w:p>
    <w:p w14:paraId="6950156C">
      <w:pPr>
        <w:overflowPunct w:val="0"/>
        <w:ind w:firstLine="632" w:firstLineChars="200"/>
        <w:outlineLvl w:val="0"/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楷体" w:cs="Times New Roman"/>
          <w:kern w:val="2"/>
          <w:sz w:val="32"/>
          <w:szCs w:val="32"/>
          <w:highlight w:val="none"/>
          <w:lang w:val="en-US" w:eastAsia="zh-CN" w:bidi="ar-SA"/>
        </w:rPr>
        <w:t>（四）模式探索目标</w:t>
      </w:r>
    </w:p>
    <w:p w14:paraId="69CA04E5">
      <w:pPr>
        <w:overflowPunct w:val="0"/>
        <w:ind w:firstLine="632" w:firstLineChars="200"/>
        <w:outlineLvl w:val="0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32"/>
          <w:szCs w:val="32"/>
          <w:highlight w:val="none"/>
          <w:lang w:val="en-US" w:eastAsia="zh-CN" w:bidi="ar-SA"/>
        </w:rPr>
        <w:t>探索构建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玉溪市工伤预防“一核四驱”工作模式，为全市安全生产和职业健康形势持续稳定提供有力支撑。</w:t>
      </w:r>
    </w:p>
    <w:p w14:paraId="5F175A02">
      <w:pPr>
        <w:overflowPunct w:val="0"/>
        <w:ind w:firstLine="632" w:firstLineChars="200"/>
        <w:outlineLvl w:val="0"/>
        <w:rPr>
          <w:rFonts w:hint="default" w:ascii="Times New Roman" w:hAnsi="Times New Roman" w:eastAsia="仿宋_GB2312" w:cs="Times New Roman"/>
          <w:b/>
          <w:bCs w:val="0"/>
          <w:kern w:val="44"/>
          <w:szCs w:val="32"/>
          <w:highlight w:val="none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黑体" w:cs="Times New Roman"/>
          <w:szCs w:val="32"/>
          <w:highlight w:val="none"/>
          <w:lang w:val="en-US" w:eastAsia="zh-CN"/>
        </w:rPr>
        <w:t>五</w:t>
      </w:r>
      <w:r>
        <w:rPr>
          <w:rFonts w:hint="default" w:ascii="Times New Roman" w:hAnsi="Times New Roman" w:eastAsia="黑体" w:cs="Times New Roman"/>
          <w:szCs w:val="32"/>
          <w:highlight w:val="none"/>
        </w:rPr>
        <w:t>、模式探索</w:t>
      </w:r>
    </w:p>
    <w:p w14:paraId="659FCE4A">
      <w:pPr>
        <w:pStyle w:val="5"/>
        <w:overflowPunct w:val="0"/>
        <w:autoSpaceDE w:val="0"/>
        <w:spacing w:beforeAutospacing="0" w:after="0"/>
        <w:ind w:left="0" w:leftChars="0" w:firstLine="0" w:firstLineChars="0"/>
        <w:jc w:val="center"/>
        <w:outlineLvl w:val="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/>
          <w:bCs w:val="0"/>
          <w:kern w:val="44"/>
          <w:szCs w:val="32"/>
          <w:highlight w:val="none"/>
          <w:shd w:val="clear" w:color="auto" w:fill="FFFFFF"/>
          <w:lang w:val="en-US" w:eastAsia="zh-CN" w:bidi="ar"/>
        </w:rPr>
        <w:t>玉溪市工伤预防“一核四驱”智防体系</w:t>
      </w:r>
    </w:p>
    <w:p w14:paraId="31E68C75">
      <w:pPr>
        <w:pStyle w:val="5"/>
        <w:overflowPunct w:val="0"/>
        <w:autoSpaceDE w:val="0"/>
        <w:spacing w:beforeAutospacing="0" w:after="0"/>
        <w:ind w:firstLineChars="200"/>
        <w:jc w:val="left"/>
        <w:outlineLvl w:val="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highlight w:val="none"/>
          <w:lang w:val="en-US" w:eastAsia="zh-CN" w:bidi="ar-SA"/>
        </w:rPr>
        <w:t>一核（数据驱动核）：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建立“玉溪市工伤预防大数据分析中心”。利用周度数据提取机制，实时监测全市及各重点企业的工伤发生率、伤害类型、基金支出等指标，形成前期数据分析报告和年度成效分析报告，为所有决策提供“数字导航”。</w:t>
      </w:r>
    </w:p>
    <w:p w14:paraId="000BDB60">
      <w:pPr>
        <w:pStyle w:val="5"/>
        <w:overflowPunct w:val="0"/>
        <w:autoSpaceDE w:val="0"/>
        <w:spacing w:beforeAutospacing="0" w:after="0"/>
        <w:ind w:firstLineChars="200"/>
        <w:jc w:val="left"/>
        <w:outlineLvl w:val="2"/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32"/>
          <w:highlight w:val="none"/>
          <w:lang w:val="en-US" w:eastAsia="zh-CN" w:bidi="ar-SA"/>
        </w:rPr>
        <w:t>四驱：</w:t>
      </w:r>
    </w:p>
    <w:p w14:paraId="715CDCC4">
      <w:pPr>
        <w:pStyle w:val="5"/>
        <w:overflowPunct w:val="0"/>
        <w:autoSpaceDE w:val="0"/>
        <w:spacing w:beforeAutospacing="0" w:after="0"/>
        <w:ind w:firstLineChars="200"/>
        <w:jc w:val="left"/>
        <w:outlineLvl w:val="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1.精准宣传驱动：基于数据分析结果，针对不同人群分别推送MG动画、彩铃视频、参保短信，并同步开展主题线下宣传活动，实现“千人千面”宣传。</w:t>
      </w:r>
    </w:p>
    <w:p w14:paraId="39E01868">
      <w:pPr>
        <w:pStyle w:val="5"/>
        <w:overflowPunct w:val="0"/>
        <w:autoSpaceDE w:val="0"/>
        <w:spacing w:beforeAutospacing="0" w:after="0"/>
        <w:ind w:firstLineChars="200"/>
        <w:jc w:val="left"/>
        <w:outlineLvl w:val="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2.靶向培训驱动：针对40家重点企业，危险化学品、建筑施工、机械制造等重点行业，职业病危害企业、新就业形态人员等重点领域实施靶向分层分级培训，切实提升参训人员工伤预防、职业健康、职业伤害预防意识和能力。</w:t>
      </w:r>
    </w:p>
    <w:p w14:paraId="16BAEA4C">
      <w:pPr>
        <w:pStyle w:val="5"/>
        <w:overflowPunct w:val="0"/>
        <w:autoSpaceDE w:val="0"/>
        <w:spacing w:beforeAutospacing="0" w:after="0"/>
        <w:ind w:firstLineChars="200"/>
        <w:jc w:val="left"/>
        <w:outlineLvl w:val="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3.动态治理驱动：落实80次“三个一小时”入企服务，对治理效果进行周期性复评，形成“排查—培训—复查</w:t>
      </w:r>
      <w:r>
        <w:rPr>
          <w:rFonts w:hint="default" w:ascii="Times New Roman" w:hAnsi="Times New Roman" w:cs="Times New Roman"/>
          <w:kern w:val="2"/>
          <w:sz w:val="32"/>
          <w:szCs w:val="32"/>
          <w:highlight w:val="none"/>
          <w:lang w:val="en-US" w:eastAsia="zh-CN" w:bidi="ar-SA"/>
        </w:rPr>
        <w:t>—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整改—</w:t>
      </w:r>
      <w:r>
        <w:rPr>
          <w:rFonts w:hint="default" w:ascii="Times New Roman" w:hAnsi="Times New Roman" w:cs="Times New Roman"/>
          <w:kern w:val="2"/>
          <w:sz w:val="32"/>
          <w:szCs w:val="32"/>
          <w:highlight w:val="none"/>
          <w:lang w:val="en-US" w:eastAsia="zh-CN" w:bidi="ar-SA"/>
        </w:rPr>
        <w:t>提升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”动态治理闭环。</w:t>
      </w:r>
    </w:p>
    <w:p w14:paraId="0D4D5D2A">
      <w:pPr>
        <w:pStyle w:val="5"/>
        <w:overflowPunct w:val="0"/>
        <w:autoSpaceDE w:val="0"/>
        <w:spacing w:beforeAutospacing="0" w:after="0"/>
        <w:ind w:firstLineChars="200"/>
        <w:jc w:val="left"/>
        <w:outlineLvl w:val="2"/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4.长效扩面驱动：将参保扩面贯穿项目始终。通过电子围栏短信精准触达，线下主题宣传活动营造氛围，不断扩大工伤预防工作社会影响力和群众知晓度，推动广大职工从“要我预防”向“我要预防”“我会预防”转变。</w:t>
      </w:r>
    </w:p>
    <w:p w14:paraId="08BB1F8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/>
        <w:bidi w:val="0"/>
        <w:adjustRightInd/>
        <w:snapToGrid/>
        <w:ind w:firstLine="632" w:firstLineChars="200"/>
        <w:textAlignment w:val="auto"/>
        <w:outlineLvl w:val="2"/>
        <w:rPr>
          <w:rFonts w:hint="default" w:ascii="Times New Roman" w:hAnsi="Times New Roman" w:eastAsia="黑体" w:cs="Times New Roman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六、</w:t>
      </w:r>
      <w:r>
        <w:rPr>
          <w:rFonts w:hint="default" w:ascii="Times New Roman" w:hAnsi="Times New Roman" w:eastAsia="黑体" w:cs="Times New Roman"/>
          <w:szCs w:val="32"/>
          <w:highlight w:val="none"/>
          <w:lang w:val="en-US" w:eastAsia="zh-CN"/>
        </w:rPr>
        <w:t>宣传眼挖掘及传播</w:t>
      </w:r>
    </w:p>
    <w:p w14:paraId="5AC24779">
      <w:pPr>
        <w:pStyle w:val="2"/>
        <w:overflowPunct w:val="0"/>
        <w:ind w:firstLine="632" w:firstLineChars="200"/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</w:pP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为打响玉溪市工伤预防品牌，提升公众认知度和影响力，提炼“</w:t>
      </w:r>
      <w:r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/>
        </w:rPr>
        <w:t>同心预防·碧玉流芳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”核心宣传语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eastAsia="zh-CN" w:bidi="ar"/>
          <w:woUserID w:val="1"/>
        </w:rPr>
        <w:t>。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“</w:t>
      </w:r>
      <w:r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/>
        </w:rPr>
        <w:t>碧玉流芳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”象征着安全、健康、纯净的生产生活环境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eastAsia="zh-CN" w:bidi="ar"/>
          <w:woUserID w:val="1"/>
        </w:rPr>
        <w:t>；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“同心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val="en-US" w:eastAsia="zh-CN" w:bidi="ar"/>
          <w:woUserID w:val="1"/>
        </w:rPr>
        <w:t>预防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”寓意政府、企业、职工三方同心，共同预防工伤事故与职业病，共建共享平安玉溪。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val="en-US" w:eastAsia="zh-CN" w:bidi="ar"/>
          <w:woUserID w:val="1"/>
        </w:rPr>
        <w:t>项目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将综合运用新闻稿件、深度报道、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val="en-US" w:eastAsia="zh-CN" w:bidi="ar"/>
          <w:woUserID w:val="1"/>
        </w:rPr>
        <w:t>短信推送、电话彩铃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等多种形式，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eastAsia="zh-CN" w:bidi="ar"/>
          <w:woUserID w:val="1"/>
        </w:rPr>
        <w:t>通过全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媒体、立体化传播，力争将“</w:t>
      </w:r>
      <w:r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/>
        </w:rPr>
        <w:t>同心预防·碧玉流芳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”打造为玉溪市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val="en-US" w:eastAsia="zh-CN" w:bidi="ar"/>
          <w:woUserID w:val="1"/>
        </w:rPr>
        <w:t>工伤预防工作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  <w:t>亮丽名片。</w:t>
      </w:r>
    </w:p>
    <w:p w14:paraId="7431D39A">
      <w:pPr>
        <w:pStyle w:val="2"/>
        <w:overflowPunct w:val="0"/>
        <w:ind w:firstLine="632" w:firstLineChars="200"/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  <w:woUserID w:val="1"/>
        </w:rPr>
      </w:pPr>
    </w:p>
    <w:p w14:paraId="6C14FED5">
      <w:pPr>
        <w:pStyle w:val="2"/>
        <w:overflowPunct w:val="0"/>
        <w:ind w:firstLine="632" w:firstLineChars="20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</w:rPr>
        <w:t>附件：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val="en-US" w:eastAsia="zh-CN" w:bidi="ar"/>
        </w:rPr>
        <w:t>1.</w:t>
      </w:r>
      <w:r>
        <w:rPr>
          <w:rFonts w:hint="default" w:ascii="Times New Roman" w:hAnsi="Times New Roman" w:cs="Times New Roman"/>
          <w:bCs/>
          <w:kern w:val="44"/>
          <w:szCs w:val="32"/>
          <w:highlight w:val="none"/>
          <w:shd w:val="clear" w:color="auto" w:fill="FFFFFF"/>
          <w:lang w:bidi="ar"/>
        </w:rPr>
        <w:t>政务推送计划</w:t>
      </w:r>
    </w:p>
    <w:p w14:paraId="77FD2093">
      <w:pPr>
        <w:pStyle w:val="2"/>
        <w:overflowPunct w:val="0"/>
        <w:ind w:firstLine="1580" w:firstLineChars="500"/>
        <w:rPr>
          <w:rFonts w:hint="default" w:ascii="Times New Roman" w:hAnsi="Times New Roman" w:eastAsia="仿宋_GB2312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-CN"/>
        </w:rPr>
        <w:t>2.媒体报道计划</w:t>
      </w:r>
    </w:p>
    <w:p w14:paraId="150A98FB">
      <w:pPr>
        <w:ind w:firstLine="632" w:firstLineChars="200"/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bidi="ar"/>
        </w:rPr>
      </w:pPr>
      <w:r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bidi="ar"/>
        </w:rPr>
        <w:br w:type="page"/>
      </w:r>
    </w:p>
    <w:p w14:paraId="2A85BEAA">
      <w:pPr>
        <w:pStyle w:val="2"/>
        <w:spacing w:line="560" w:lineRule="exact"/>
        <w:ind w:firstLine="0" w:firstLineChars="0"/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bidi="ar"/>
        </w:rPr>
        <w:sectPr>
          <w:footerReference r:id="rId4" w:type="default"/>
          <w:footerReference r:id="rId5" w:type="even"/>
          <w:pgSz w:w="11906" w:h="16838"/>
          <w:pgMar w:top="2098" w:right="1474" w:bottom="1985" w:left="1588" w:header="851" w:footer="1418" w:gutter="0"/>
          <w:pgNumType w:fmt="numberInDash" w:start="1"/>
          <w:cols w:space="425" w:num="1"/>
          <w:docGrid w:type="linesAndChars" w:linePitch="579" w:charSpace="-849"/>
        </w:sectPr>
      </w:pPr>
    </w:p>
    <w:p w14:paraId="4E6D50AA">
      <w:pPr>
        <w:pStyle w:val="2"/>
        <w:spacing w:line="560" w:lineRule="exact"/>
        <w:ind w:firstLine="0" w:firstLineChars="0"/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bidi="ar"/>
        </w:rPr>
      </w:pPr>
      <w:r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bidi="ar"/>
        </w:rPr>
        <w:t>附件1</w:t>
      </w:r>
    </w:p>
    <w:p w14:paraId="68194746">
      <w:pPr>
        <w:pStyle w:val="2"/>
        <w:spacing w:line="560" w:lineRule="exact"/>
        <w:ind w:firstLine="0" w:firstLineChars="0"/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bidi="ar"/>
        </w:rPr>
      </w:pPr>
    </w:p>
    <w:p w14:paraId="7BC78866">
      <w:pPr>
        <w:pStyle w:val="2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  <w:lang w:val="en-US" w:eastAsia="zh-CN"/>
        </w:rPr>
        <w:t>政务推送</w:t>
      </w: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  <w:t>计划（</w:t>
      </w: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  <w:lang w:val="en-US" w:eastAsia="zh-CN"/>
        </w:rPr>
        <w:t>内宣计划</w:t>
      </w: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  <w:t>）</w:t>
      </w:r>
    </w:p>
    <w:p w14:paraId="21B917B3">
      <w:pPr>
        <w:pStyle w:val="2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Cs w:val="32"/>
          <w:highlight w:val="none"/>
        </w:rPr>
      </w:pPr>
    </w:p>
    <w:tbl>
      <w:tblPr>
        <w:tblStyle w:val="6"/>
        <w:tblW w:w="92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809"/>
        <w:gridCol w:w="2846"/>
        <w:gridCol w:w="1007"/>
        <w:gridCol w:w="2847"/>
      </w:tblGrid>
      <w:tr w14:paraId="419A4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  <w:jc w:val="center"/>
        </w:trPr>
        <w:tc>
          <w:tcPr>
            <w:tcW w:w="789" w:type="dxa"/>
            <w:shd w:val="clear" w:color="auto" w:fill="F1F1F1"/>
            <w:noWrap w:val="0"/>
            <w:vAlign w:val="center"/>
          </w:tcPr>
          <w:p w14:paraId="6AFA8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序号</w:t>
            </w:r>
          </w:p>
        </w:tc>
        <w:tc>
          <w:tcPr>
            <w:tcW w:w="1809" w:type="dxa"/>
            <w:shd w:val="clear" w:color="auto" w:fill="F1F1F1"/>
            <w:noWrap w:val="0"/>
            <w:vAlign w:val="center"/>
          </w:tcPr>
          <w:p w14:paraId="3750B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内容</w:t>
            </w:r>
          </w:p>
        </w:tc>
        <w:tc>
          <w:tcPr>
            <w:tcW w:w="2846" w:type="dxa"/>
            <w:shd w:val="clear" w:color="auto" w:fill="F1F1F1"/>
            <w:noWrap w:val="0"/>
            <w:vAlign w:val="center"/>
          </w:tcPr>
          <w:p w14:paraId="7BFBC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渠道</w:t>
            </w:r>
          </w:p>
        </w:tc>
        <w:tc>
          <w:tcPr>
            <w:tcW w:w="1007" w:type="dxa"/>
            <w:shd w:val="clear" w:color="auto" w:fill="F1F1F1"/>
            <w:noWrap w:val="0"/>
            <w:vAlign w:val="center"/>
          </w:tcPr>
          <w:p w14:paraId="200FF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形式</w:t>
            </w:r>
          </w:p>
        </w:tc>
        <w:tc>
          <w:tcPr>
            <w:tcW w:w="2847" w:type="dxa"/>
            <w:shd w:val="clear" w:color="auto" w:fill="F1F1F1"/>
            <w:noWrap w:val="0"/>
            <w:vAlign w:val="center"/>
          </w:tcPr>
          <w:p w14:paraId="1D261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报道选题/关键词</w:t>
            </w:r>
          </w:p>
        </w:tc>
      </w:tr>
      <w:tr w14:paraId="440DB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789" w:type="dxa"/>
            <w:noWrap/>
            <w:vAlign w:val="center"/>
          </w:tcPr>
          <w:p w14:paraId="3D542188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1</w:t>
            </w:r>
          </w:p>
        </w:tc>
        <w:tc>
          <w:tcPr>
            <w:tcW w:w="1809" w:type="dxa"/>
            <w:noWrap w:val="0"/>
            <w:vAlign w:val="center"/>
          </w:tcPr>
          <w:p w14:paraId="13F5E1D1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玉溪市工伤预防“一核四驱”智防体系深度解读</w:t>
            </w:r>
          </w:p>
        </w:tc>
        <w:tc>
          <w:tcPr>
            <w:tcW w:w="2846" w:type="dxa"/>
            <w:noWrap w:val="0"/>
            <w:vAlign w:val="center"/>
          </w:tcPr>
          <w:p w14:paraId="3E54FA48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云南省人社厅、玉溪市委/市政府信息专报</w:t>
            </w:r>
          </w:p>
        </w:tc>
        <w:tc>
          <w:tcPr>
            <w:tcW w:w="1007" w:type="dxa"/>
            <w:noWrap w:val="0"/>
            <w:vAlign w:val="center"/>
          </w:tcPr>
          <w:p w14:paraId="24A4F5F6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政务专报</w:t>
            </w:r>
          </w:p>
        </w:tc>
        <w:tc>
          <w:tcPr>
            <w:tcW w:w="2847" w:type="dxa"/>
            <w:noWrap w:val="0"/>
            <w:vAlign w:val="center"/>
          </w:tcPr>
          <w:p w14:paraId="4FAAC941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精准施策、数智赋能 玉溪市探索工伤预防“一核四驱”新模式</w:t>
            </w:r>
          </w:p>
        </w:tc>
      </w:tr>
      <w:tr w14:paraId="4855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789" w:type="dxa"/>
            <w:noWrap/>
            <w:vAlign w:val="center"/>
          </w:tcPr>
          <w:p w14:paraId="533F3912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2</w:t>
            </w:r>
          </w:p>
        </w:tc>
        <w:tc>
          <w:tcPr>
            <w:tcW w:w="1809" w:type="dxa"/>
            <w:noWrap w:val="0"/>
            <w:vAlign w:val="center"/>
          </w:tcPr>
          <w:p w14:paraId="2C36692F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重点企业“三个一小时”治理案例</w:t>
            </w:r>
          </w:p>
        </w:tc>
        <w:tc>
          <w:tcPr>
            <w:tcW w:w="2846" w:type="dxa"/>
            <w:noWrap w:val="0"/>
            <w:vAlign w:val="center"/>
          </w:tcPr>
          <w:p w14:paraId="4924DA62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云南省人社厅官网、玉溪市政府官网、玉溪市人社局官网/公众号</w:t>
            </w:r>
          </w:p>
        </w:tc>
        <w:tc>
          <w:tcPr>
            <w:tcW w:w="1007" w:type="dxa"/>
            <w:noWrap w:val="0"/>
            <w:vAlign w:val="center"/>
          </w:tcPr>
          <w:p w14:paraId="665E73E5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典型案例</w:t>
            </w:r>
          </w:p>
        </w:tc>
        <w:tc>
          <w:tcPr>
            <w:tcW w:w="2847" w:type="dxa"/>
            <w:noWrap w:val="0"/>
            <w:vAlign w:val="center"/>
          </w:tcPr>
          <w:p w14:paraId="02B855C0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把“安全诊所”搬进车间：玉溪市为重点企业开出工伤预防“个性良方”</w:t>
            </w:r>
          </w:p>
        </w:tc>
      </w:tr>
    </w:tbl>
    <w:p w14:paraId="159033DE">
      <w:pPr>
        <w:ind w:firstLine="0" w:firstLineChars="0"/>
        <w:rPr>
          <w:rFonts w:hint="default" w:ascii="Times New Roman" w:hAnsi="Times New Roman" w:eastAsia="方正楷体_GB2312" w:cs="Times New Roman"/>
          <w:bCs/>
          <w:kern w:val="44"/>
          <w:sz w:val="30"/>
          <w:szCs w:val="30"/>
          <w:highlight w:val="none"/>
          <w:shd w:val="clear" w:color="auto" w:fill="FFFFFF"/>
          <w:lang w:val="en-US" w:eastAsia="zh-CN" w:bidi="ar"/>
        </w:rPr>
      </w:pPr>
    </w:p>
    <w:p w14:paraId="35634E16">
      <w:pPr>
        <w:ind w:firstLine="0" w:firstLineChars="0"/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方正楷体_GB2312" w:cs="Times New Roman"/>
          <w:bCs/>
          <w:kern w:val="44"/>
          <w:sz w:val="30"/>
          <w:szCs w:val="30"/>
          <w:highlight w:val="none"/>
          <w:shd w:val="clear" w:color="auto" w:fill="FFFFFF"/>
          <w:lang w:val="en-US" w:eastAsia="zh-CN" w:bidi="ar"/>
        </w:rPr>
        <w:t>注：专报需要人社本身政务渠道报送</w:t>
      </w:r>
      <w:r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bidi="ar"/>
        </w:rPr>
        <w:br w:type="page"/>
      </w:r>
      <w:r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bidi="ar"/>
        </w:rPr>
        <w:t>附件</w:t>
      </w:r>
      <w:r>
        <w:rPr>
          <w:rFonts w:hint="default" w:ascii="Times New Roman" w:hAnsi="Times New Roman" w:eastAsia="黑体" w:cs="Times New Roman"/>
          <w:bCs/>
          <w:kern w:val="44"/>
          <w:szCs w:val="32"/>
          <w:highlight w:val="none"/>
          <w:shd w:val="clear" w:color="auto" w:fill="FFFFFF"/>
          <w:lang w:val="en-US" w:eastAsia="zh-CN" w:bidi="ar"/>
        </w:rPr>
        <w:t>2</w:t>
      </w:r>
    </w:p>
    <w:p w14:paraId="7B8C031A">
      <w:pPr>
        <w:pStyle w:val="2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  <w:t>媒体报道计划（拟）</w:t>
      </w:r>
    </w:p>
    <w:tbl>
      <w:tblPr>
        <w:tblStyle w:val="6"/>
        <w:tblW w:w="91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3349"/>
        <w:gridCol w:w="3349"/>
        <w:gridCol w:w="1687"/>
      </w:tblGrid>
      <w:tr w14:paraId="2FD13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748" w:type="dxa"/>
            <w:shd w:val="clear" w:color="auto" w:fill="F1F1F1"/>
            <w:noWrap w:val="0"/>
            <w:vAlign w:val="center"/>
          </w:tcPr>
          <w:p w14:paraId="2FB5A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  <w:t>序号</w:t>
            </w:r>
          </w:p>
        </w:tc>
        <w:tc>
          <w:tcPr>
            <w:tcW w:w="3349" w:type="dxa"/>
            <w:shd w:val="clear" w:color="auto" w:fill="F1F1F1"/>
            <w:noWrap w:val="0"/>
            <w:vAlign w:val="center"/>
          </w:tcPr>
          <w:p w14:paraId="6AF9A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  <w:t>标题</w:t>
            </w:r>
          </w:p>
        </w:tc>
        <w:tc>
          <w:tcPr>
            <w:tcW w:w="3349" w:type="dxa"/>
            <w:shd w:val="clear" w:color="auto" w:fill="F1F1F1"/>
            <w:noWrap w:val="0"/>
            <w:vAlign w:val="center"/>
          </w:tcPr>
          <w:p w14:paraId="077B4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  <w:t>内容梗概</w:t>
            </w:r>
          </w:p>
        </w:tc>
        <w:tc>
          <w:tcPr>
            <w:tcW w:w="1687" w:type="dxa"/>
            <w:shd w:val="clear" w:color="auto" w:fill="F1F1F1"/>
            <w:noWrap w:val="0"/>
            <w:vAlign w:val="center"/>
          </w:tcPr>
          <w:p w14:paraId="29075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  <w:t>渠道</w:t>
            </w:r>
          </w:p>
        </w:tc>
      </w:tr>
      <w:tr w14:paraId="202E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5" w:hRule="atLeast"/>
          <w:jc w:val="center"/>
        </w:trPr>
        <w:tc>
          <w:tcPr>
            <w:tcW w:w="748" w:type="dxa"/>
            <w:noWrap/>
            <w:vAlign w:val="center"/>
          </w:tcPr>
          <w:p w14:paraId="2E7506E0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1</w:t>
            </w:r>
          </w:p>
        </w:tc>
        <w:tc>
          <w:tcPr>
            <w:tcW w:w="3349" w:type="dxa"/>
            <w:noWrap w:val="0"/>
            <w:vAlign w:val="center"/>
          </w:tcPr>
          <w:p w14:paraId="78C7D19C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专题报</w:t>
            </w: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道：同心预防·碧玉流芳——玉溪市2026年工伤预防项目全面启动</w:t>
            </w:r>
            <w:bookmarkStart w:id="18" w:name="_GoBack"/>
            <w:bookmarkEnd w:id="18"/>
          </w:p>
        </w:tc>
        <w:tc>
          <w:tcPr>
            <w:tcW w:w="3349" w:type="dxa"/>
            <w:shd w:val="clear" w:color="auto" w:fill="auto"/>
            <w:noWrap w:val="0"/>
            <w:vAlign w:val="center"/>
          </w:tcPr>
          <w:p w14:paraId="35619025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报道项目启动会暨警示教育会，解读“一核四驱”新模式及年度目标。</w:t>
            </w:r>
          </w:p>
        </w:tc>
        <w:tc>
          <w:tcPr>
            <w:tcW w:w="1687" w:type="dxa"/>
            <w:shd w:val="clear" w:color="auto" w:fill="auto"/>
            <w:noWrap w:val="0"/>
            <w:vAlign w:val="center"/>
          </w:tcPr>
          <w:p w14:paraId="7D522E2F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玉溪日报</w:t>
            </w:r>
          </w:p>
        </w:tc>
      </w:tr>
      <w:tr w14:paraId="0C44A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7" w:hRule="atLeast"/>
          <w:jc w:val="center"/>
        </w:trPr>
        <w:tc>
          <w:tcPr>
            <w:tcW w:w="748" w:type="dxa"/>
            <w:noWrap/>
            <w:vAlign w:val="center"/>
          </w:tcPr>
          <w:p w14:paraId="4455BFFF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2</w:t>
            </w:r>
          </w:p>
        </w:tc>
        <w:tc>
          <w:tcPr>
            <w:tcW w:w="3349" w:type="dxa"/>
            <w:noWrap w:val="0"/>
            <w:vAlign w:val="center"/>
          </w:tcPr>
          <w:p w14:paraId="6F666DAA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深度报道：“三个一小时”能做什么？——玉溪市为重点企业开出的“安全处方”</w:t>
            </w:r>
          </w:p>
        </w:tc>
        <w:tc>
          <w:tcPr>
            <w:tcW w:w="3349" w:type="dxa"/>
            <w:shd w:val="clear" w:color="auto" w:fill="auto"/>
            <w:noWrap w:val="0"/>
            <w:vAlign w:val="center"/>
          </w:tcPr>
          <w:p w14:paraId="21398777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深入报道安全专家为40家重点企业提供隐患排查、定制培训、管理调研的全过程及“一企一策”档案的建立。</w:t>
            </w:r>
          </w:p>
        </w:tc>
        <w:tc>
          <w:tcPr>
            <w:tcW w:w="1687" w:type="dxa"/>
            <w:shd w:val="clear" w:color="auto" w:fill="auto"/>
            <w:noWrap w:val="0"/>
            <w:vAlign w:val="center"/>
          </w:tcPr>
          <w:p w14:paraId="5204E494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eastAsia="zh-CN" w:bidi="ar"/>
                <w:woUserID w:val="1"/>
              </w:rPr>
            </w:pPr>
            <w:r>
              <w:rPr>
                <w:rFonts w:hint="default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eastAsia="zh-CN" w:bidi="ar"/>
                <w:woUserID w:val="1"/>
              </w:rPr>
              <w:t>云南网</w:t>
            </w:r>
          </w:p>
        </w:tc>
      </w:tr>
      <w:tr w14:paraId="7C5C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7" w:hRule="atLeast"/>
          <w:jc w:val="center"/>
        </w:trPr>
        <w:tc>
          <w:tcPr>
            <w:tcW w:w="748" w:type="dxa"/>
            <w:noWrap/>
            <w:vAlign w:val="center"/>
          </w:tcPr>
          <w:p w14:paraId="1F58A687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3</w:t>
            </w:r>
          </w:p>
        </w:tc>
        <w:tc>
          <w:tcPr>
            <w:tcW w:w="3349" w:type="dxa"/>
            <w:noWrap w:val="0"/>
            <w:vAlign w:val="center"/>
          </w:tcPr>
          <w:p w14:paraId="2238EBBC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动态消息：您的来电等待已变成“安全课堂”——玉溪市推送工伤预防大数据彩铃</w:t>
            </w:r>
          </w:p>
        </w:tc>
        <w:tc>
          <w:tcPr>
            <w:tcW w:w="3349" w:type="dxa"/>
            <w:shd w:val="clear" w:color="auto" w:fill="auto"/>
            <w:noWrap w:val="0"/>
            <w:vAlign w:val="center"/>
          </w:tcPr>
          <w:p w14:paraId="1F22D21E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介绍大数据彩铃视频的投放模式（5万曝光量）及精准覆盖目标人群。</w:t>
            </w:r>
          </w:p>
        </w:tc>
        <w:tc>
          <w:tcPr>
            <w:tcW w:w="1687" w:type="dxa"/>
            <w:shd w:val="clear" w:color="auto" w:fill="auto"/>
            <w:noWrap w:val="0"/>
            <w:vAlign w:val="center"/>
          </w:tcPr>
          <w:p w14:paraId="623854DB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玉溪日报</w:t>
            </w:r>
          </w:p>
        </w:tc>
      </w:tr>
      <w:tr w14:paraId="11CFD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  <w:jc w:val="center"/>
        </w:trPr>
        <w:tc>
          <w:tcPr>
            <w:tcW w:w="748" w:type="dxa"/>
            <w:noWrap/>
            <w:vAlign w:val="center"/>
          </w:tcPr>
          <w:p w14:paraId="76947C1C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4</w:t>
            </w:r>
          </w:p>
        </w:tc>
        <w:tc>
          <w:tcPr>
            <w:tcW w:w="3349" w:type="dxa"/>
            <w:noWrap w:val="0"/>
            <w:vAlign w:val="center"/>
          </w:tcPr>
          <w:p w14:paraId="0D6C9845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玉溪市探索工伤预防“一核四驱”新模式</w:t>
            </w:r>
          </w:p>
        </w:tc>
        <w:tc>
          <w:tcPr>
            <w:tcW w:w="3349" w:type="dxa"/>
            <w:shd w:val="clear" w:color="auto" w:fill="auto"/>
            <w:noWrap w:val="0"/>
            <w:vAlign w:val="center"/>
          </w:tcPr>
          <w:p w14:paraId="4500E233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玉溪市2026年工伤预防项目成效综述</w:t>
            </w:r>
          </w:p>
        </w:tc>
        <w:tc>
          <w:tcPr>
            <w:tcW w:w="1687" w:type="dxa"/>
            <w:shd w:val="clear" w:color="auto" w:fill="auto"/>
            <w:noWrap w:val="0"/>
            <w:vAlign w:val="center"/>
          </w:tcPr>
          <w:p w14:paraId="65C5DC1F">
            <w:pPr>
              <w:snapToGrid w:val="0"/>
              <w:jc w:val="center"/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bCs/>
                <w:kern w:val="44"/>
                <w:sz w:val="21"/>
                <w:szCs w:val="21"/>
                <w:highlight w:val="none"/>
                <w:shd w:val="clear" w:color="auto" w:fill="FFFFFF"/>
                <w:lang w:val="en-US" w:eastAsia="zh-CN" w:bidi="ar"/>
              </w:rPr>
              <w:t>新华社客户端</w:t>
            </w:r>
          </w:p>
        </w:tc>
      </w:tr>
    </w:tbl>
    <w:p w14:paraId="43614F46">
      <w:pPr>
        <w:jc w:val="left"/>
        <w:rPr>
          <w:rFonts w:hint="default" w:ascii="Times New Roman" w:hAnsi="Times New Roman" w:eastAsia="楷体_GB2312" w:cs="Times New Roman"/>
          <w:sz w:val="44"/>
          <w:szCs w:val="44"/>
          <w:highlight w:val="none"/>
        </w:rPr>
      </w:pPr>
    </w:p>
    <w:p w14:paraId="431C8E38">
      <w:pPr>
        <w:rPr>
          <w:rFonts w:hint="default" w:ascii="Times New Roman" w:hAnsi="Times New Roman" w:cs="Times New Roman"/>
        </w:rPr>
      </w:pPr>
    </w:p>
    <w:sectPr>
      <w:pgSz w:w="11906" w:h="16838"/>
      <w:pgMar w:top="2098" w:right="1474" w:bottom="1985" w:left="1588" w:header="851" w:footer="1418" w:gutter="0"/>
      <w:pgNumType w:fmt="numberInDash" w:start="1"/>
      <w:cols w:space="425" w:num="1"/>
      <w:docGrid w:type="linesAndChar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E0C739C-CF1A-4DC4-AD9D-5F1D865D912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45038ACE-13C5-477E-8073-69D378FE3DE2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6A160DD9-E1E1-40BA-8096-A4304C0DADF5}"/>
  </w:font>
  <w:font w:name="汉仪楷体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17EF873C-0F7A-4DC8-8B1A-826340D2CBE6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3A20E199-8941-450B-8E31-803B6D16E34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AB342">
    <w:pPr>
      <w:pStyle w:val="3"/>
      <w:ind w:left="320" w:leftChars="100" w:right="320" w:rightChars="100"/>
      <w:rPr>
        <w:rFonts w:hint="eastAsia" w:ascii="宋体" w:hAnsi="宋体" w:eastAsia="宋体"/>
        <w:sz w:val="28"/>
        <w:szCs w:val="36"/>
      </w:rPr>
    </w:pPr>
    <w:r>
      <w:rPr>
        <w:rFonts w:ascii="宋体" w:hAnsi="宋体" w:eastAsia="宋体"/>
        <w:sz w:val="28"/>
        <w:szCs w:val="36"/>
      </w:rPr>
      <w:fldChar w:fldCharType="begin"/>
    </w:r>
    <w:r>
      <w:rPr>
        <w:rFonts w:ascii="宋体" w:hAnsi="宋体" w:eastAsia="宋体"/>
        <w:sz w:val="28"/>
        <w:szCs w:val="36"/>
      </w:rPr>
      <w:instrText xml:space="preserve">PAGE   \* MERGEFORMAT</w:instrText>
    </w:r>
    <w:r>
      <w:rPr>
        <w:rFonts w:ascii="宋体" w:hAnsi="宋体" w:eastAsia="宋体"/>
        <w:sz w:val="28"/>
        <w:szCs w:val="36"/>
      </w:rPr>
      <w:fldChar w:fldCharType="separate"/>
    </w:r>
    <w:r>
      <w:rPr>
        <w:rFonts w:hint="eastAsia" w:ascii="宋体" w:hAnsi="宋体" w:eastAsia="宋体"/>
        <w:sz w:val="28"/>
        <w:szCs w:val="36"/>
      </w:rPr>
      <w:t>- 3 -</w:t>
    </w:r>
    <w:r>
      <w:rPr>
        <w:rFonts w:ascii="宋体" w:hAnsi="宋体" w:eastAsia="宋体"/>
        <w:sz w:val="28"/>
        <w:szCs w:val="3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2292E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/>
      <w:ind w:left="320" w:leftChars="100" w:right="320" w:rightChars="100" w:firstLine="0"/>
      <w:jc w:val="right"/>
      <w:textAlignment w:val="auto"/>
      <w:rPr>
        <w:rFonts w:hint="eastAsia" w:ascii="宋体" w:hAnsi="宋体" w:eastAsia="宋体"/>
        <w:sz w:val="28"/>
        <w:szCs w:val="36"/>
      </w:rPr>
    </w:pPr>
    <w:r>
      <w:rPr>
        <w:rFonts w:ascii="宋体" w:hAnsi="宋体" w:eastAsia="宋体"/>
        <w:sz w:val="28"/>
        <w:szCs w:val="36"/>
      </w:rPr>
      <w:fldChar w:fldCharType="begin"/>
    </w:r>
    <w:r>
      <w:rPr>
        <w:rFonts w:ascii="宋体" w:hAnsi="宋体" w:eastAsia="宋体"/>
        <w:sz w:val="28"/>
        <w:szCs w:val="36"/>
      </w:rPr>
      <w:instrText xml:space="preserve">PAGE   \* MERGEFORMAT</w:instrText>
    </w:r>
    <w:r>
      <w:rPr>
        <w:rFonts w:ascii="宋体" w:hAnsi="宋体" w:eastAsia="宋体"/>
        <w:sz w:val="28"/>
        <w:szCs w:val="36"/>
      </w:rPr>
      <w:fldChar w:fldCharType="separate"/>
    </w:r>
    <w:r>
      <w:rPr>
        <w:rFonts w:ascii="宋体" w:hAnsi="宋体" w:eastAsia="宋体"/>
        <w:sz w:val="28"/>
        <w:szCs w:val="36"/>
        <w:lang w:val="zh-CN"/>
      </w:rPr>
      <w:t>1</w:t>
    </w:r>
    <w:r>
      <w:rPr>
        <w:rFonts w:ascii="宋体" w:hAnsi="宋体" w:eastAsia="宋体"/>
        <w:sz w:val="28"/>
        <w:szCs w:val="3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26DCC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/>
      <w:ind w:left="320" w:leftChars="100" w:right="320" w:rightChars="100" w:firstLine="0"/>
      <w:textAlignment w:val="auto"/>
      <w:rPr>
        <w:rFonts w:hint="eastAsia" w:ascii="宋体" w:hAnsi="宋体" w:eastAsia="宋体"/>
        <w:sz w:val="28"/>
        <w:szCs w:val="36"/>
      </w:rPr>
    </w:pPr>
    <w:r>
      <w:rPr>
        <w:rFonts w:ascii="宋体" w:hAnsi="宋体" w:eastAsia="宋体"/>
        <w:sz w:val="28"/>
        <w:szCs w:val="36"/>
      </w:rPr>
      <w:fldChar w:fldCharType="begin"/>
    </w:r>
    <w:r>
      <w:rPr>
        <w:rFonts w:ascii="宋体" w:hAnsi="宋体" w:eastAsia="宋体"/>
        <w:sz w:val="28"/>
        <w:szCs w:val="36"/>
      </w:rPr>
      <w:instrText xml:space="preserve">PAGE   \* MERGEFORMAT</w:instrText>
    </w:r>
    <w:r>
      <w:rPr>
        <w:rFonts w:ascii="宋体" w:hAnsi="宋体" w:eastAsia="宋体"/>
        <w:sz w:val="28"/>
        <w:szCs w:val="36"/>
      </w:rPr>
      <w:fldChar w:fldCharType="separate"/>
    </w:r>
    <w:r>
      <w:rPr>
        <w:rFonts w:hint="eastAsia" w:ascii="宋体" w:hAnsi="宋体" w:eastAsia="宋体"/>
        <w:sz w:val="28"/>
        <w:szCs w:val="36"/>
      </w:rPr>
      <w:t>- 3 -</w:t>
    </w:r>
    <w:r>
      <w:rPr>
        <w:rFonts w:ascii="宋体" w:hAnsi="宋体" w:eastAsia="宋体"/>
        <w:sz w:val="28"/>
        <w:szCs w:val="3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1174B"/>
    <w:rsid w:val="14E1174B"/>
    <w:rsid w:val="22FF4878"/>
    <w:rsid w:val="7850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theme="minorBidi"/>
      <w:kern w:val="2"/>
      <w:sz w:val="32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200" w:firstLineChars="200"/>
    </w:p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Body Text"/>
    <w:basedOn w:val="1"/>
    <w:next w:val="1"/>
    <w:qFormat/>
    <w:uiPriority w:val="0"/>
    <w:pPr>
      <w:spacing w:after="120"/>
    </w:pPr>
    <w:rPr>
      <w:rFonts w:ascii="Calibri" w:hAnsi="Calibri" w:eastAsia="宋体"/>
    </w:rPr>
  </w:style>
  <w:style w:type="paragraph" w:styleId="5">
    <w:name w:val="Body Text First Indent"/>
    <w:basedOn w:val="4"/>
    <w:unhideWhenUsed/>
    <w:qFormat/>
    <w:uiPriority w:val="99"/>
    <w:pPr>
      <w:spacing w:beforeAutospacing="1"/>
      <w:ind w:firstLine="420" w:firstLineChars="100"/>
    </w:pPr>
    <w:rPr>
      <w:rFonts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58520172-bbea-4584-9910-abcf6216257d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24A374D9</paraID>
      <start>79</start>
      <end>80</end>
      <status>modified</status>
      <modifiedWord>—</modifiedWord>
      <trackRevisions>false</trackRevisions>
    </reviewItem>
    <reviewItem>
      <errorID>a91c0160-df1e-46a1-a64f-06cbef35c3ee</errorID>
      <errorWord>工作过</errorWord>
      <group>L1_Word</group>
      <groupName>字词问题</groupName>
      <ability>L2_Typo</ability>
      <abilityName>字词错误</abilityName>
      <candidateList>
        <item>工作</item>
      </candidateList>
      <explain>❶〈动〉从事体力或脑力劳动，也泛指机器、工具受人操纵而发挥生产作用：积极～｜开始～｜铲土机正在～。❷〈名〉职业：找～｜～没有贵贱之分。❸〈名〉业务；任务：～量｜宣传～｜工会～｜科学研究～。</explain>
      <paraID>24A374D9</paraID>
      <start>143</start>
      <end>145</end>
      <status>modified</status>
      <modifiedWord>工作</modifiedWord>
      <trackRevisions>false</trackRevisions>
    </reviewItem>
    <reviewItem>
      <errorID>4ee10cca-d6bb-4747-9657-8106980d7091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7017AB43</paraID>
      <start>19</start>
      <end>20</end>
      <status>modified</status>
      <modifiedWord>—</modifiedWord>
      <trackRevisions>false</trackRevisions>
    </reviewItem>
    <reviewItem>
      <errorID>413e5eac-dccf-4e1d-8d6b-dd5fd2f12008</errorID>
      <errorWord>全</errorWord>
      <group>L1_Grammar</group>
      <groupName>语法问题</groupName>
      <ability>L2_Grammar</ability>
      <abilityName>语法错误</abilityName>
      <candidateList>
        <item>通过全</item>
      </candidateList>
      <explain/>
      <paraID>7E4F267A</paraID>
      <start>155</start>
      <end>158</end>
      <status>modified</status>
      <modifiedWord>通过全</modifiedWord>
      <trackRevisions>false</trackRevisions>
    </reviewItem>
    <reviewItem>
      <errorID>a20e488a-f6e7-4986-a43a-e46776a022f0</errorID>
      <errorWord>传播</errorWord>
      <group>L1_Grammar</group>
      <groupName>语法问题</groupName>
      <ability>L2_Grammar</ability>
      <abilityName>语法错误</abilityName>
      <candidateList>
        <item>的方式进行传播</item>
      </candidateList>
      <explain/>
      <paraID>7E4F267A</paraID>
      <start>164</start>
      <end>166</end>
      <status>unmodified</status>
      <modifiedWord/>
      <trackRevisions>false</trackRevisions>
    </reviewItem>
    <reviewItem>
      <errorID>c6cfb40d-ede0-4a5c-90e1-9a240988e0f8</errorID>
      <errorWord>人</errorWord>
      <group>L1_Grammar</group>
      <groupName>语法问题</groupName>
      <ability>L2_Grammar</ability>
      <abilityName>语法错误</abilityName>
      <candidateList>
        <item>通过人</item>
      </candidateList>
      <explain/>
      <paraID>2112318D</paraID>
      <start>6</start>
      <end>7</end>
      <status>unmodified</status>
      <modifiedWord/>
      <trackRevisions>false</trackRevisions>
    </reviewItem>
    <reviewItem>
      <errorID>39ec2c72-1b7b-41ff-a587-32cb53bc2d41</errorID>
      <errorWord/>
      <group>L1_Punc</group>
      <groupName>标点问题</groupName>
      <ability>L2_Punc_CN</ability>
      <abilityName>标点符号问题</abilityName>
      <candidateList>
        <item>。</item>
      </candidateList>
      <explain/>
      <paraID>2112318D</paraID>
      <start>16</start>
      <end>17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733c37d-fbf4-49f4-9442-502e682153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2578</Words>
  <Characters>2636</Characters>
  <Lines>0</Lines>
  <Paragraphs>0</Paragraphs>
  <TotalTime>0</TotalTime>
  <ScaleCrop>false</ScaleCrop>
  <LinksUpToDate>false</LinksUpToDate>
  <CharactersWithSpaces>2637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2026-06-04T20:02:00Z</dcterms:created>
  <dc:creator>Show</dc:creator>
  <cp:lastModifiedBy>Show</cp:lastModifiedBy>
  <dcterms:modified xsi:type="dcterms:W3CDTF">2026-06-16T03:52:32Z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9BD7C7B9D8BE40DC9B235F9C31B82DD4_11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