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71A5F">
      <w:pPr>
        <w:spacing w:line="1200" w:lineRule="exact"/>
        <w:ind w:left="0" w:leftChars="0" w:firstLine="0" w:firstLineChars="0"/>
        <w:jc w:val="center"/>
        <w:rPr>
          <w:rFonts w:hint="default" w:ascii="Times New Roman" w:hAnsi="Times New Roman" w:eastAsia="方正小标宋简体" w:cs="Times New Roman"/>
          <w:b/>
          <w:color w:val="FF0000"/>
          <w:w w:val="90"/>
          <w:sz w:val="72"/>
          <w:szCs w:val="72"/>
          <w:highlight w:val="none"/>
          <w:lang w:val="en-US" w:eastAsia="zh-CN"/>
        </w:rPr>
      </w:pPr>
      <w:bookmarkStart w:id="0" w:name="_GoBack"/>
      <w:r>
        <w:rPr>
          <w:rFonts w:hint="default" w:ascii="Times New Roman" w:hAnsi="Times New Roman" w:eastAsia="方正小标宋简体" w:cs="Times New Roman"/>
          <w:b/>
          <w:color w:val="FF0000"/>
          <w:spacing w:val="1"/>
          <w:w w:val="82"/>
          <w:kern w:val="0"/>
          <w:sz w:val="72"/>
          <w:szCs w:val="72"/>
          <w:fitText w:val="8044" w:id="839862784"/>
          <w:lang w:val="en-US" w:eastAsia="zh-CN"/>
        </w:rPr>
        <w:t>雅安市2025年度工伤预防项</w:t>
      </w:r>
      <w:r>
        <w:rPr>
          <w:rFonts w:hint="default" w:ascii="Times New Roman" w:hAnsi="Times New Roman" w:eastAsia="方正小标宋简体" w:cs="Times New Roman"/>
          <w:b/>
          <w:color w:val="FF0000"/>
          <w:spacing w:val="8"/>
          <w:w w:val="82"/>
          <w:kern w:val="0"/>
          <w:sz w:val="72"/>
          <w:szCs w:val="72"/>
          <w:fitText w:val="8044" w:id="839862784"/>
          <w:lang w:val="en-US" w:eastAsia="zh-CN"/>
        </w:rPr>
        <w:t>目</w:t>
      </w:r>
      <w:r>
        <w:rPr>
          <w:rFonts w:hint="default" w:ascii="Times New Roman" w:hAnsi="Times New Roman" w:eastAsia="方正小标宋简体" w:cs="Times New Roman"/>
          <w:b/>
          <w:color w:val="FF0000"/>
          <w:w w:val="90"/>
          <w:sz w:val="72"/>
          <w:szCs w:val="72"/>
          <w:highlight w:val="none"/>
          <w:lang w:val="en-US" w:eastAsia="zh-CN"/>
        </w:rPr>
        <w:t>调研培训专报</w:t>
      </w:r>
    </w:p>
    <w:bookmarkEnd w:id="0"/>
    <w:p w14:paraId="50EB556A">
      <w:pPr>
        <w:spacing w:line="576" w:lineRule="exact"/>
        <w:ind w:left="0" w:leftChars="0" w:firstLine="0" w:firstLineChars="0"/>
        <w:jc w:val="both"/>
        <w:rPr>
          <w:rFonts w:hint="default" w:ascii="Times New Roman" w:hAnsi="Times New Roman" w:eastAsia="仿宋_GB2312" w:cs="Times New Roman"/>
          <w:bCs w:val="0"/>
          <w:color w:val="auto"/>
          <w:sz w:val="32"/>
          <w:szCs w:val="32"/>
          <w:highlight w:val="none"/>
          <w:lang w:val="en-US" w:eastAsia="zh-CN"/>
        </w:rPr>
      </w:pPr>
    </w:p>
    <w:p w14:paraId="289FFAB1">
      <w:pPr>
        <w:spacing w:line="576" w:lineRule="exact"/>
        <w:ind w:left="0" w:leftChars="0" w:firstLine="0" w:firstLineChars="0"/>
        <w:jc w:val="both"/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bCs w:val="0"/>
          <w:color w:val="auto"/>
          <w:sz w:val="32"/>
          <w:szCs w:val="32"/>
          <w:highlight w:val="none"/>
          <w:lang w:val="en-US" w:eastAsia="zh-CN"/>
        </w:rPr>
        <w:t xml:space="preserve">雅安市工伤预防项目工作组 </w:t>
      </w:r>
      <w:r>
        <w:rPr>
          <w:rFonts w:hint="default" w:ascii="Times New Roman" w:hAnsi="Times New Roman" w:eastAsia="楷体_GB2312" w:cs="Times New Roman"/>
          <w:bCs w:val="0"/>
          <w:color w:val="auto"/>
          <w:sz w:val="32"/>
          <w:szCs w:val="32"/>
          <w:highlight w:val="none"/>
          <w:lang w:val="en-US" w:eastAsia="zh-CN"/>
        </w:rPr>
        <w:t xml:space="preserve">     </w:t>
      </w:r>
      <w:r>
        <w:rPr>
          <w:rFonts w:hint="default" w:ascii="Times New Roman" w:hAnsi="Times New Roman" w:eastAsia="楷体_GB2312" w:cs="Times New Roman"/>
          <w:bCs w:val="0"/>
          <w:color w:val="auto"/>
          <w:sz w:val="32"/>
          <w:szCs w:val="32"/>
          <w:highlight w:val="none"/>
          <w:lang w:eastAsia="zh-CN"/>
          <w:woUserID w:val="1"/>
        </w:rPr>
        <w:t xml:space="preserve"> </w:t>
      </w:r>
      <w:r>
        <w:rPr>
          <w:rFonts w:hint="default" w:ascii="Times New Roman" w:hAnsi="Times New Roman" w:eastAsia="楷体_GB2312" w:cs="Times New Roman"/>
          <w:bCs w:val="0"/>
          <w:color w:val="auto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楷体_GB2312" w:cs="Times New Roman"/>
          <w:bCs w:val="0"/>
          <w:color w:val="auto"/>
          <w:sz w:val="32"/>
          <w:szCs w:val="32"/>
          <w:highlight w:val="none"/>
        </w:rPr>
        <w:t xml:space="preserve"> </w:t>
      </w:r>
      <w:r>
        <w:rPr>
          <w:rFonts w:hint="default" w:ascii="Times New Roman" w:hAnsi="Times New Roman" w:eastAsia="楷体_GB2312" w:cs="Times New Roman"/>
          <w:bCs w:val="0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default" w:ascii="Times New Roman" w:hAnsi="Times New Roman" w:eastAsia="楷体" w:cs="Times New Roman"/>
          <w:bCs/>
          <w:sz w:val="32"/>
          <w:szCs w:val="36"/>
          <w:highlight w:val="none"/>
        </w:rPr>
        <w:t xml:space="preserve"> </w:t>
      </w:r>
      <w:r>
        <w:rPr>
          <w:rFonts w:hint="default" w:ascii="Times New Roman" w:hAnsi="Times New Roman" w:eastAsia="楷体" w:cs="Times New Roman"/>
          <w:bCs/>
          <w:sz w:val="32"/>
          <w:szCs w:val="36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2026年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4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月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20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 w:bidi="ar-SA"/>
        </w:rPr>
        <w:t>日</w:t>
      </w:r>
    </w:p>
    <w:p w14:paraId="3A325AC9">
      <w:pPr>
        <w:tabs>
          <w:tab w:val="left" w:pos="3497"/>
        </w:tabs>
        <w:bidi w:val="0"/>
        <w:ind w:left="0" w:leftChars="0" w:firstLine="0" w:firstLineChars="0"/>
        <w:jc w:val="left"/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</w:pPr>
      <w:r>
        <w:rPr>
          <w:rFonts w:hint="default" w:ascii="Times New Roman" w:hAnsi="Times New Roman" w:eastAsia="宋体" w:cs="Times New Roman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-201295</wp:posOffset>
                </wp:positionH>
                <wp:positionV relativeFrom="paragraph">
                  <wp:posOffset>41275</wp:posOffset>
                </wp:positionV>
                <wp:extent cx="5760085" cy="0"/>
                <wp:effectExtent l="0" t="13970" r="2540" b="14605"/>
                <wp:wrapNone/>
                <wp:docPr id="11" name="自选图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085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7" o:spid="_x0000_s1026" o:spt="32" type="#_x0000_t32" style="position:absolute;left:0pt;margin-left:-15.85pt;margin-top:3.25pt;height:0pt;width:453.55pt;z-index:251659264;mso-width-relative:page;mso-height-relative:page;" filled="f" stroked="t" coordsize="21600,21600" o:gfxdata="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fzIvqNUAAAAHAQAADwAAAAAAAAABACAAAAAiAAAAZHJzL2Rvd25yZXYueG1sUEsB&#10;AhQAFAAAAAgAh07iQFMlDsD4AQAA5QMAAA4AAAAAAAAAAQAgAAAAJAEAAGRycy9lMm9Eb2MueG1s&#10;UEsFBgAAAAAGAAYAWQEAAI4FAAAAAA==&#10;">
                <v:fill on="f" focussize="0,0"/>
                <v:stroke weight="2.25pt" color="#FF0000" joinstyle="round"/>
                <v:imagedata o:title=""/>
                <o:lock v:ext="edit" aspectratio="f"/>
              </v:shape>
            </w:pict>
          </mc:Fallback>
        </mc:AlternateContent>
      </w:r>
    </w:p>
    <w:p w14:paraId="0F96AEA3">
      <w:pPr>
        <w:pStyle w:val="4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为有效提升重点企业、重点行业、重点领域的安全管理和工伤预防水平，全力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spacing w:val="0"/>
          <w:sz w:val="32"/>
          <w:szCs w:val="32"/>
          <w:shd w:val="clear"/>
          <w:woUserID w:val="1"/>
        </w:rPr>
        <w:t>统筹抓好工伤预防和安全生产，</w:t>
      </w:r>
      <w:r>
        <w:rPr>
          <w:rFonts w:hint="default" w:ascii="Times New Roman" w:hAnsi="Times New Roman" w:eastAsia="仿宋_GB2312" w:cs="Times New Roman"/>
          <w:b w:val="0"/>
          <w:bCs w:val="0"/>
          <w:i w:val="0"/>
          <w:iCs w:val="0"/>
          <w:caps w:val="0"/>
          <w:spacing w:val="0"/>
          <w:sz w:val="32"/>
          <w:szCs w:val="32"/>
          <w:shd w:val="clear"/>
          <w:woUserID w:val="1"/>
        </w:rPr>
        <w:t>构建更高水平安全格局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spacing w:val="0"/>
          <w:sz w:val="32"/>
          <w:szCs w:val="32"/>
          <w:shd w:val="clear"/>
          <w:woUserID w:val="1"/>
        </w:rPr>
        <w:t>，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spacing w:val="0"/>
          <w:sz w:val="32"/>
          <w:szCs w:val="32"/>
          <w:shd w:val="clear"/>
          <w:lang w:val="en-US" w:eastAsia="zh-CN"/>
          <w:woUserID w:val="1"/>
        </w:rPr>
        <w:t>雅安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spacing w:val="0"/>
          <w:sz w:val="32"/>
          <w:szCs w:val="32"/>
          <w:shd w:val="clear"/>
          <w:lang w:val="en-US" w:eastAsia="zh-CN"/>
          <w:woUserID w:val="1"/>
        </w:rPr>
        <w:t>市工伤预防项目工作组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坚持以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降低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工伤事故和职业病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发生率、提升企业职工工伤预防意识能力为目标，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以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实施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工伤预防项目为抓手，深入实施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重点企业及建设项目工伤预防治理、重点领域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工伤预防培训等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工作，推进工伤预防落地见效。</w:t>
      </w:r>
    </w:p>
    <w:p w14:paraId="39D8DBBB">
      <w:pPr>
        <w:pStyle w:val="4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项目实施以来，累计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帮助33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woUserID w:val="1"/>
        </w:rPr>
        <w:t>家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/>
          <w:woUserID w:val="1"/>
        </w:rPr>
        <w:t>重点企业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/>
          <w:woUserID w:val="1"/>
        </w:rPr>
        <w:t>及建设项目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highlight w:val="none"/>
          <w:lang w:val="en-US" w:eastAsia="zh-CN"/>
          <w:woUserID w:val="1"/>
        </w:rPr>
        <w:t>排查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工伤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事故隐患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852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项，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指导帮助完成隐患整改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292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项，隐患整改率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  <w:woUserID w:val="2"/>
        </w:rPr>
        <w:t>达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2"/>
        </w:rPr>
        <w:t>34.27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%；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开展重点企业工伤预防培训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31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场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参训人数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1527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人；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开展心脑血管疾病预防专项培训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9场，参训人数840人；开展在建项目管理人员工伤预防专项培训2场，参训人数207人。</w:t>
      </w:r>
    </w:p>
    <w:p w14:paraId="75D9C496">
      <w:pPr>
        <w:pStyle w:val="4"/>
        <w:keepNext w:val="0"/>
        <w:keepLines w:val="0"/>
        <w:pageBreakBefore w:val="0"/>
        <w:widowControl w:val="0"/>
        <w:numPr>
          <w:ilvl w:val="-1"/>
          <w:numId w:val="0"/>
        </w:numPr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firstLine="640" w:firstLineChars="200"/>
        <w:textAlignment w:val="auto"/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/>
          <w:woUserID w:val="1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  <w:woUserID w:val="1"/>
        </w:rPr>
        <w:t>一、</w:t>
      </w:r>
      <w: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/>
          <w:woUserID w:val="1"/>
        </w:rPr>
        <w:t>重点企业及建设项目工伤预防治理</w:t>
      </w:r>
    </w:p>
    <w:p w14:paraId="7C750B49">
      <w:pPr>
        <w:pStyle w:val="4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项目工作组委派专家团队，通过首次会议、查阅企业安全管理档案、现场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走访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、末次会议四大流程，深入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33家重点企业及建设项目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开展工伤预防治理，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排查出各类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工伤事故隐患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852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项，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并为其出具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隐患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报告、一企一策信息表、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隐患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  <w:t>清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单等，形成具体、有效的改进策略，指导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用人单位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完成隐患整改。</w:t>
      </w:r>
    </w:p>
    <w:p w14:paraId="770A769B">
      <w:pPr>
        <w:pStyle w:val="4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woUserID w:val="1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根据前期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调研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情况，项目工作组再次深入企业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及建设项目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生产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检核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一线，对照隐患清单逐一核对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用人单位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隐患整改情况。对于已整改的隐患，工作组详细记录整改措施与效果，评估其是否达到预期目标；对于尚未整改或整改不彻底的隐患，工作组与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用人单位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相关负责人进行深入沟通，了解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用人单位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在整改过程中遇到的困难和问题，共同探讨解决方案，并制定更为详细和可行的整改计划。累计指导帮助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33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家重点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用人单位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完成隐患整改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292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项，隐患整改率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34.27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%。</w:t>
      </w:r>
    </w:p>
    <w:p w14:paraId="38C85F8B">
      <w:pPr>
        <w:pStyle w:val="4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textAlignment w:val="auto"/>
        <w:rPr>
          <w:rFonts w:hint="default" w:ascii="Times New Roman" w:hAnsi="Times New Roman" w:eastAsia="黑体" w:cs="Times New Roman"/>
          <w:kern w:val="2"/>
          <w:sz w:val="32"/>
          <w:szCs w:val="32"/>
          <w:woUserID w:val="1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  <w:woUserID w:val="1"/>
        </w:rPr>
        <w:t>二、</w:t>
      </w:r>
      <w: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/>
          <w:woUserID w:val="1"/>
        </w:rPr>
        <w:t>工伤预防</w:t>
      </w:r>
      <w:r>
        <w:rPr>
          <w:rFonts w:hint="default" w:ascii="Times New Roman" w:hAnsi="Times New Roman" w:eastAsia="黑体" w:cs="Times New Roman"/>
          <w:kern w:val="2"/>
          <w:sz w:val="32"/>
          <w:szCs w:val="32"/>
          <w:woUserID w:val="1"/>
        </w:rPr>
        <w:t>专项培训</w:t>
      </w:r>
    </w:p>
    <w:p w14:paraId="52BE3030">
      <w:pPr>
        <w:pStyle w:val="4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textAlignment w:val="auto"/>
        <w:rPr>
          <w:rFonts w:hint="default" w:ascii="Times New Roman" w:hAnsi="Times New Roman" w:eastAsia="楷体" w:cs="Times New Roman"/>
          <w:kern w:val="2"/>
          <w:sz w:val="32"/>
          <w:szCs w:val="32"/>
          <w:woUserID w:val="1"/>
        </w:rPr>
      </w:pPr>
      <w:r>
        <w:rPr>
          <w:rFonts w:hint="default" w:ascii="Times New Roman" w:hAnsi="Times New Roman" w:eastAsia="楷体" w:cs="Times New Roman"/>
          <w:kern w:val="2"/>
          <w:sz w:val="32"/>
          <w:szCs w:val="32"/>
          <w:woUserID w:val="3"/>
        </w:rPr>
        <w:t>（</w:t>
      </w:r>
      <w:r>
        <w:rPr>
          <w:rFonts w:hint="default" w:ascii="Times New Roman" w:hAnsi="Times New Roman" w:eastAsia="楷体" w:cs="Times New Roman"/>
          <w:kern w:val="2"/>
          <w:sz w:val="32"/>
          <w:szCs w:val="32"/>
          <w:woUserID w:val="1"/>
        </w:rPr>
        <w:t>一）重点企业</w:t>
      </w:r>
      <w:r>
        <w:rPr>
          <w:rFonts w:hint="eastAsia" w:ascii="Times New Roman" w:hAnsi="Times New Roman" w:eastAsia="楷体" w:cs="Times New Roman"/>
          <w:kern w:val="2"/>
          <w:sz w:val="32"/>
          <w:szCs w:val="32"/>
          <w:lang w:val="en-US" w:eastAsia="zh-CN"/>
          <w:woUserID w:val="1"/>
        </w:rPr>
        <w:t>及建设项目</w:t>
      </w:r>
      <w:r>
        <w:rPr>
          <w:rFonts w:hint="default" w:ascii="Times New Roman" w:hAnsi="Times New Roman" w:eastAsia="楷体" w:cs="Times New Roman"/>
          <w:kern w:val="2"/>
          <w:sz w:val="32"/>
          <w:szCs w:val="32"/>
          <w:lang w:val="en-US" w:eastAsia="zh-CN"/>
          <w:woUserID w:val="1"/>
        </w:rPr>
        <w:t>工伤预防</w:t>
      </w:r>
      <w:r>
        <w:rPr>
          <w:rFonts w:hint="default" w:ascii="Times New Roman" w:hAnsi="Times New Roman" w:eastAsia="楷体" w:cs="Times New Roman"/>
          <w:kern w:val="2"/>
          <w:sz w:val="32"/>
          <w:szCs w:val="32"/>
          <w:woUserID w:val="1"/>
        </w:rPr>
        <w:t>培训</w:t>
      </w:r>
    </w:p>
    <w:p w14:paraId="64E85343">
      <w:pPr>
        <w:pStyle w:val="4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firstLine="640" w:firstLineChars="200"/>
        <w:textAlignment w:val="auto"/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  <w:woUserID w:val="1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基于重点企业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及建设项目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隐患情况，对易发、频发的工伤事故类型进行细致分析，定制化开发设计培训课件，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  <w:woUserID w:val="1"/>
        </w:rPr>
        <w:t>面向重点企业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及建设项目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eastAsia="zh-CN"/>
          <w:woUserID w:val="1"/>
        </w:rPr>
        <w:t>的一线岗位人员开展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“一企一课”工伤预防定制培训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31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场，针对性讲解工伤保险政策、常见事故预防技巧、隐患防范与识别、职业健康等知识。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31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场培训共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1527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人参训，培训考试平均分9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0.1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分，满意度平均分9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7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.</w:t>
      </w: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54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/>
          <w:woUserID w:val="1"/>
        </w:rPr>
        <w:t>分。</w:t>
      </w:r>
    </w:p>
    <w:p w14:paraId="40D66432">
      <w:pPr>
        <w:pStyle w:val="4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textAlignment w:val="auto"/>
        <w:rPr>
          <w:rFonts w:hint="default" w:ascii="Times New Roman" w:hAnsi="Times New Roman" w:eastAsia="楷体" w:cs="Times New Roman"/>
          <w:kern w:val="2"/>
          <w:sz w:val="32"/>
          <w:szCs w:val="32"/>
          <w:lang w:val="en-US" w:eastAsia="zh-CN"/>
          <w:woUserID w:val="1"/>
        </w:rPr>
      </w:pPr>
      <w:r>
        <w:rPr>
          <w:rFonts w:hint="default" w:ascii="Times New Roman" w:hAnsi="Times New Roman" w:eastAsia="楷体" w:cs="Times New Roman"/>
          <w:kern w:val="2"/>
          <w:sz w:val="32"/>
          <w:szCs w:val="32"/>
          <w:lang w:val="en-US" w:eastAsia="zh-CN"/>
          <w:woUserID w:val="1"/>
        </w:rPr>
        <w:t>（二）心脑血管疾病预防专项培训</w:t>
      </w:r>
    </w:p>
    <w:p w14:paraId="36B51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面向雅安市各县（区）开展心脑血管疾病预防专项培训9场。培训结合</w:t>
      </w:r>
      <w:r>
        <w:rPr>
          <w:rFonts w:hint="eastAsia" w:ascii="仿宋_GB2312" w:hAnsi="仿宋_GB2312" w:eastAsia="仿宋_GB2312" w:cs="仿宋_GB2312"/>
          <w:b w:val="0"/>
          <w:kern w:val="2"/>
          <w:sz w:val="32"/>
          <w:szCs w:val="32"/>
          <w:lang w:val="en-US" w:eastAsia="zh-CN" w:bidi="ar-SA"/>
        </w:rPr>
        <w:t>雅安市突发疾病工伤数据，深入剖析疾病的发病场景、类型与成因，帮助职工识别高危人群及早期症状。同时，围绕健康饮食、合理作息、心理调适和运动等方面，提供实用预防指导，并系统教授心肺复苏（CPR）和自动体外除颤器（AED）使用方法，提升职工突发情况下自救互救能力。11场培训参训人数840人，考试平均分90.35分，满意度平均分98.04分。</w:t>
      </w:r>
    </w:p>
    <w:p w14:paraId="33B26564">
      <w:pPr>
        <w:pStyle w:val="4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640" w:firstLineChars="200"/>
        <w:textAlignment w:val="auto"/>
        <w:rPr>
          <w:rFonts w:hint="default" w:ascii="Times New Roman" w:hAnsi="Times New Roman" w:eastAsia="楷体" w:cs="Times New Roman"/>
          <w:kern w:val="2"/>
          <w:sz w:val="32"/>
          <w:szCs w:val="32"/>
          <w:lang w:val="en-US" w:eastAsia="zh-CN"/>
          <w:woUserID w:val="1"/>
        </w:rPr>
      </w:pPr>
      <w:r>
        <w:rPr>
          <w:rFonts w:hint="default" w:ascii="Times New Roman" w:hAnsi="Times New Roman" w:eastAsia="楷体" w:cs="Times New Roman"/>
          <w:kern w:val="2"/>
          <w:sz w:val="32"/>
          <w:szCs w:val="32"/>
          <w:lang w:val="en-US" w:eastAsia="zh-CN"/>
          <w:woUserID w:val="1"/>
        </w:rPr>
        <w:t>（三）在建项目管理人员工伤预防专项培训</w:t>
      </w:r>
    </w:p>
    <w:p w14:paraId="56D09755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面向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雅安市重点在建项目管理人员开展工伤预防专项培训2场。培训内容涵盖管理者应知应会法律法规、安全管理方法与技巧、事故应对方法与技巧、事故案例分析及隐患识别、工伤保险政策及办理要点等。2场培训参训人数207人，考试平均分91.28分，满意度平均分98.16分。</w:t>
      </w:r>
    </w:p>
    <w:p w14:paraId="7761D28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0983AF4E">
      <w:pPr>
        <w:pStyle w:val="7"/>
        <w:keepNext w:val="0"/>
        <w:keepLines w:val="0"/>
        <w:widowControl w:val="0"/>
        <w:numPr>
          <w:ilvl w:val="-1"/>
          <w:numId w:val="0"/>
        </w:numPr>
        <w:suppressLineNumbers w:val="0"/>
        <w:autoSpaceDE w:val="0"/>
        <w:autoSpaceDN/>
        <w:spacing w:before="0" w:beforeLines="0" w:beforeAutospacing="0" w:after="0" w:afterLines="0" w:afterAutospacing="0" w:line="560" w:lineRule="exact"/>
        <w:ind w:left="0" w:leftChars="0" w:right="0" w:firstLine="640" w:firstLineChars="200"/>
        <w:jc w:val="left"/>
        <w:rPr>
          <w:rFonts w:hint="default" w:ascii="Times New Roman" w:hAnsi="Times New Roman" w:eastAsia="仿宋_GB2312" w:cs="Times New Roman"/>
          <w:b w:val="0"/>
          <w:color w:val="0C0C0C"/>
          <w:kern w:val="2"/>
          <w:sz w:val="32"/>
          <w:szCs w:val="32"/>
          <w:woUserID w:val="1"/>
        </w:rPr>
      </w:pPr>
      <w:r>
        <w:rPr>
          <w:rFonts w:hint="default" w:ascii="Times New Roman" w:hAnsi="Times New Roman" w:eastAsia="仿宋_GB2312" w:cs="Times New Roman"/>
          <w:b w:val="0"/>
          <w:color w:val="0C0C0C"/>
          <w:kern w:val="2"/>
          <w:sz w:val="32"/>
          <w:szCs w:val="32"/>
          <w:woUserID w:val="1"/>
        </w:rPr>
        <w:t>附件：项目工作进度统计</w:t>
      </w:r>
    </w:p>
    <w:p w14:paraId="0B587E67">
      <w:pPr>
        <w:pStyle w:val="7"/>
        <w:keepNext w:val="0"/>
        <w:keepLines w:val="0"/>
        <w:widowControl w:val="0"/>
        <w:numPr>
          <w:ilvl w:val="-1"/>
          <w:numId w:val="0"/>
        </w:numPr>
        <w:suppressLineNumbers w:val="0"/>
        <w:autoSpaceDE w:val="0"/>
        <w:autoSpaceDN/>
        <w:spacing w:before="0" w:beforeLines="0" w:beforeAutospacing="0" w:after="0" w:afterLines="0" w:afterAutospacing="0" w:line="560" w:lineRule="exact"/>
        <w:ind w:left="0" w:leftChars="0" w:right="0" w:firstLine="640" w:firstLineChars="200"/>
        <w:jc w:val="left"/>
        <w:rPr>
          <w:rFonts w:hint="default" w:ascii="Times New Roman" w:hAnsi="Times New Roman" w:eastAsia="仿宋_GB2312" w:cs="Times New Roman"/>
          <w:b w:val="0"/>
          <w:color w:val="0C0C0C"/>
          <w:kern w:val="2"/>
          <w:sz w:val="32"/>
          <w:szCs w:val="32"/>
          <w:woUserID w:val="1"/>
        </w:rPr>
      </w:pPr>
      <w:r>
        <w:rPr>
          <w:rFonts w:hint="default" w:ascii="Times New Roman" w:hAnsi="Times New Roman" w:eastAsia="仿宋_GB2312" w:cs="Times New Roman"/>
          <w:b w:val="0"/>
          <w:color w:val="0C0C0C"/>
          <w:kern w:val="2"/>
          <w:sz w:val="32"/>
          <w:szCs w:val="32"/>
          <w:woUserID w:val="1"/>
        </w:rPr>
        <w:t xml:space="preserve">  </w:t>
      </w:r>
    </w:p>
    <w:p w14:paraId="0B89BB70">
      <w:pPr>
        <w:pStyle w:val="6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</w:p>
    <w:p w14:paraId="2C678335">
      <w:pPr>
        <w:pStyle w:val="6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</w:p>
    <w:p w14:paraId="4457A543">
      <w:pPr>
        <w:pStyle w:val="6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</w:p>
    <w:p w14:paraId="31B3382E">
      <w:pPr>
        <w:pStyle w:val="6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</w:p>
    <w:p w14:paraId="4C1DAA59">
      <w:pPr>
        <w:pStyle w:val="6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</w:p>
    <w:p w14:paraId="5E76BDD8">
      <w:pPr>
        <w:pStyle w:val="6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both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</w:p>
    <w:p w14:paraId="2DA048AB">
      <w:pPr>
        <w:pBdr>
          <w:top w:val="single" w:color="auto" w:sz="6" w:space="1"/>
          <w:bottom w:val="single" w:color="auto" w:sz="6" w:space="1"/>
        </w:pBdr>
        <w:spacing w:line="560" w:lineRule="exact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送</w:t>
      </w:r>
      <w:r>
        <w:rPr>
          <w:rFonts w:hint="default" w:ascii="Times New Roman" w:hAnsi="Times New Roman" w:eastAsia="仿宋_GB2312" w:cs="Times New Roman"/>
          <w:sz w:val="32"/>
          <w:szCs w:val="32"/>
        </w:rPr>
        <w:t>：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人力资源和社会保障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局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工业和信息化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局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财政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局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住房和城乡建设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局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交通运输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局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卫生健康委员会、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市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应急管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理局、市总工会，市邮政管理局</w:t>
      </w:r>
    </w:p>
    <w:p w14:paraId="19451E79">
      <w:pP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  <w:r>
        <w:rPr>
          <w:rFonts w:hint="default" w:ascii="Times New Roman" w:hAnsi="Times New Roman" w:cs="Times New Roman"/>
          <w:lang w:val="en-US" w:eastAsia="zh-CN"/>
        </w:rPr>
        <w:t xml:space="preserve">       </w:t>
      </w:r>
    </w:p>
    <w:p w14:paraId="4267C3A8">
      <w:pPr>
        <w:keepNext w:val="0"/>
        <w:keepLines w:val="0"/>
        <w:widowControl w:val="0"/>
        <w:suppressLineNumbers w:val="0"/>
        <w:autoSpaceDE/>
        <w:autoSpaceDN/>
        <w:spacing w:before="0" w:beforeLines="-2147483648" w:beforeAutospacing="0" w:after="0" w:afterLines="-2147483648" w:afterAutospacing="0" w:line="240" w:lineRule="auto"/>
        <w:ind w:left="0" w:right="0"/>
        <w:jc w:val="both"/>
        <w:rPr>
          <w:rFonts w:hint="default" w:ascii="Times New Roman" w:hAnsi="Times New Roman" w:eastAsia="宋体" w:cs="Times New Roman"/>
          <w:b/>
          <w:bCs w:val="0"/>
          <w:kern w:val="2"/>
          <w:sz w:val="32"/>
          <w:szCs w:val="32"/>
          <w:woUserID w:val="1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"/>
          <w:woUserID w:val="1"/>
        </w:rPr>
        <w:t>附件</w:t>
      </w:r>
    </w:p>
    <w:p w14:paraId="43CD440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commentRangeStart w:id="0"/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项目工作进度统计</w:t>
      </w:r>
      <w:commentRangeEnd w:id="0"/>
      <w:r>
        <w:commentReference w:id="0"/>
      </w:r>
    </w:p>
    <w:p w14:paraId="70554FBD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578" w:lineRule="exact"/>
        <w:ind w:left="0" w:right="0"/>
        <w:jc w:val="center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"/>
        </w:rPr>
        <w:t>重点企业治理情况统计表</w:t>
      </w:r>
    </w:p>
    <w:tbl>
      <w:tblPr>
        <w:tblStyle w:val="8"/>
        <w:tblW w:w="1370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4488"/>
        <w:gridCol w:w="2775"/>
        <w:gridCol w:w="975"/>
        <w:gridCol w:w="2587"/>
        <w:gridCol w:w="988"/>
        <w:gridCol w:w="1037"/>
      </w:tblGrid>
      <w:tr w14:paraId="1759B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1A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14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企业名称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13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调研日期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0D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"/>
              </w:rPr>
              <w:t>隐患条数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16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"/>
              </w:rPr>
              <w:t>回访日期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3CD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"/>
              </w:rPr>
              <w:t>隐患整改数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BF2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"/>
              </w:rPr>
              <w:t>隐患整改率（%）</w:t>
            </w:r>
          </w:p>
        </w:tc>
      </w:tr>
      <w:tr w14:paraId="3C177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CD0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FFB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国道318名山区黑竹至雨城区多营段改建工程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134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2026年1月30日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E5B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C23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2026年3月20日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CCE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7C5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</w:tr>
      <w:tr w14:paraId="4BBDE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7F7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3B4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蜀天蓝城·桃花源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57D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2026年1月31日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606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0EC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2026年4月11日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16A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D27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4BABF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001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1BA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雨城区迎新街片区城市更新项目（开发－建设－销售一体化）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E6D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2026年1月31日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02D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712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2026年4月2日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C06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55C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</w:tr>
      <w:tr w14:paraId="74186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FAB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B7C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雅州印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5DC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2026年2月1日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C1A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85F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2026年4月12日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95F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501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</w:tr>
      <w:tr w14:paraId="74E92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1FC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DF1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泰悦湾项目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ED6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2026年2月1日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528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55C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2026年4月11日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4B0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1FC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</w:tr>
      <w:tr w14:paraId="6338F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579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AF4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四川建安工业有限责任公司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80A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2026年3月2日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0C4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11F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265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880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</w:tr>
      <w:tr w14:paraId="68AF0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4AA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417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四川众友机械有限责任公司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097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2026年3月3日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FA9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C83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9E5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814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</w:tr>
      <w:tr w14:paraId="22B34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B45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BF5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四川中氟能新材料科技有限公司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618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2026年3月4日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7B7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2B0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0B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CB8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</w:tr>
      <w:tr w14:paraId="19373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A38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389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四川吉地机械工业有限公司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6B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2026年3月5日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EB2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80E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2026年4月18日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1AA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4AA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91F7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609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518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四川兴伟博家具有限责任公司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3D4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2026年3月6日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6F8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4C2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B58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003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</w:tr>
      <w:tr w14:paraId="6EFA2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91B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873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汉源县源富锌业有限公司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DA0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2026年3月7日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910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7DE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2026年4月15日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BD4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FED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07C3A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7FF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F7D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四川盛屯锌锗科技有限公司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A27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2026年3月8日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0D2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232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2026年4月15日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80A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732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A923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9F9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098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四川万里锌业有限公司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330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2026年3月9日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06E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81F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2026年4月9日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EC0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D76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</w:tr>
      <w:tr w14:paraId="59B2B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7B0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D83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S67邛崃经芦山至荥经段高速公路项目（芦山段）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24E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2026年3月9日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FB4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597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2026年4月10日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AFC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C69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42311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779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7BF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S67邛崃经芦山至荥经段高速公路项目（宝兴段）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2B7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2026年3月9日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34C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6D8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2026年4月10日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E99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34B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</w:tr>
      <w:tr w14:paraId="07F26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FFB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718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石棉县集能新材料有限公司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709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2026年3月10日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7BB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DC3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2026年4月3日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700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F85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</w:tr>
      <w:tr w14:paraId="392A0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749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CBB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S541荥经县五宪至龙苍沟段改建工程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DE6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2026年3月10日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95E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C5E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A32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E93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</w:tr>
      <w:tr w14:paraId="6EA00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B2D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BBC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四川天黎新材料有限公司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ECA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2026年3月11日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006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71F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2026年3月30日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E93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893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</w:tr>
      <w:tr w14:paraId="31CB0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5FE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318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汉源县高山农业示范区项目-幸福美丽乡村路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3B7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2026年3月11日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BF6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A39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1EA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0CC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</w:tr>
      <w:tr w14:paraId="4D423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858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858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国道108汉源县九襄至富林段改建工程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0FC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2026年3月12日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CDD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AF5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2026年4月16日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130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EBA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7F99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5FD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E00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汉源盛屯锌锗科技有限公司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CE4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2026年3月12日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298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620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2E6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3B8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</w:tr>
      <w:tr w14:paraId="45AD4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F5F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A76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石棉县东顺锌业有限责任公司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F3F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2026年3月13日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B50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D1E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AB8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403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</w:tr>
      <w:tr w14:paraId="0B447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C07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3F5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雅安市三发岗石新材料有限公司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A08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2026年3月13日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6BB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41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92D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2026年4月17日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312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41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B4F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24F1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201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8A9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石棉县南电花园地块棚户区改造项目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1B9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2026年3月13日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BB6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C47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191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9E8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</w:tr>
      <w:tr w14:paraId="6CD17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0EC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B9C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G5京昆高速公路成都至雅安段扩容工程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C34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2026年3月18日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4F7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568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66F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226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</w:tr>
      <w:tr w14:paraId="2E203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872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E98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雅安市雨城区环境卫生管理处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4AB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2026年3月19日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624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90A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2026年4月10日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C3F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516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</w:tr>
      <w:tr w14:paraId="4D875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5E8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ED8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S67邛崃经芦山至荥经段高速公路项目（天全段）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44A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2026年3月19日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770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21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7BF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CDE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</w:tr>
      <w:tr w14:paraId="6929F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F00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362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芦山雅诚纺织品有限公司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B4C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2026年4月8日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D2E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45F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E95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303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</w:tr>
      <w:tr w14:paraId="6AD39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BCF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71C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芦山县中成药品产业园建设项目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6FE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2026年4月13日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323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CCC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53C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E96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</w:tr>
      <w:tr w14:paraId="67BCC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DDB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780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G662大渡河大桥至石棉县城段灾后恢复重建项目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E0C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2026年4月14日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16D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2C5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3B9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B31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</w:tr>
      <w:tr w14:paraId="7296C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50C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C09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四川省汉源县国家储备林建设项目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0E6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2026年4月14日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E1F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99D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F98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22B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</w:tr>
      <w:tr w14:paraId="19EBF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BD9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B71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S67邛崃经芦山至荥经段高速公路项目（荥经段）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189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2026年4月19日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12D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F49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5A7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55A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</w:tr>
      <w:tr w14:paraId="6D156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D68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CC8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雅安市（汉源）生活垃圾焚烧发电项目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6AA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2026年4月20日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F26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882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4EC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CD1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/</w:t>
            </w:r>
          </w:p>
        </w:tc>
      </w:tr>
      <w:tr w14:paraId="4CFE4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6D9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总计</w:t>
            </w:r>
          </w:p>
        </w:tc>
        <w:tc>
          <w:tcPr>
            <w:tcW w:w="726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98E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9AD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852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011B1">
            <w:pPr>
              <w:jc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F26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AD5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34.27</w:t>
            </w:r>
          </w:p>
        </w:tc>
      </w:tr>
    </w:tbl>
    <w:p w14:paraId="754610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br w:type="page"/>
      </w:r>
    </w:p>
    <w:p w14:paraId="13C99F2E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578" w:lineRule="exact"/>
        <w:ind w:left="0" w:right="0"/>
        <w:jc w:val="center"/>
        <w:rPr>
          <w:rFonts w:hint="default" w:ascii="黑体" w:hAnsi="黑体" w:eastAsia="黑体" w:cs="黑体"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"/>
        </w:rPr>
        <w:t>项目</w:t>
      </w:r>
      <w:r>
        <w:rPr>
          <w:rFonts w:hint="default" w:ascii="黑体" w:hAnsi="黑体" w:eastAsia="黑体" w:cs="黑体"/>
          <w:kern w:val="2"/>
          <w:sz w:val="32"/>
          <w:szCs w:val="32"/>
          <w:lang w:val="en-US" w:eastAsia="zh-CN" w:bidi="ar"/>
        </w:rPr>
        <w:t>培训</w:t>
      </w: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"/>
        </w:rPr>
        <w:t>情况统计表</w:t>
      </w:r>
    </w:p>
    <w:p w14:paraId="6A5F5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00" w:lineRule="exact"/>
        <w:jc w:val="center"/>
        <w:textAlignment w:val="auto"/>
        <w:rPr>
          <w:rFonts w:hint="default" w:ascii="方正小标宋简体" w:hAnsi="Times New Roman" w:eastAsia="方正小标宋简体" w:cstheme="minorBidi"/>
          <w:sz w:val="44"/>
          <w:szCs w:val="44"/>
          <w:lang w:eastAsia="zh-CN" w:bidi="ar"/>
        </w:rPr>
      </w:pPr>
    </w:p>
    <w:tbl>
      <w:tblPr>
        <w:tblStyle w:val="8"/>
        <w:tblW w:w="1371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5662"/>
        <w:gridCol w:w="2438"/>
        <w:gridCol w:w="1337"/>
        <w:gridCol w:w="1588"/>
        <w:gridCol w:w="1775"/>
      </w:tblGrid>
      <w:tr w14:paraId="3EA67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34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74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培训主题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90A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培训日期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16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参训人数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AE9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2"/>
                <w:sz w:val="24"/>
                <w:szCs w:val="24"/>
                <w:lang w:val="en-US" w:eastAsia="zh-CN"/>
              </w:rPr>
              <w:t>考试平均分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407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满意度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平均分</w:t>
            </w:r>
          </w:p>
        </w:tc>
      </w:tr>
      <w:tr w14:paraId="3647A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2EC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D30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国道318名山区黑竹（成都界）至雨城区多营段改建工程工伤预防培训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502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2026年3月20日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BD2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123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4F9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95.84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7FA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96.65</w:t>
            </w:r>
          </w:p>
        </w:tc>
      </w:tr>
      <w:tr w14:paraId="596FF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12F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56C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国道318名山区黑竹（成都界）至雨城区多营段改建工程第二场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842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2026年3月20日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306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111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B24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98.02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260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97.01</w:t>
            </w:r>
          </w:p>
        </w:tc>
      </w:tr>
      <w:tr w14:paraId="0B2BF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6F1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6D4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四川天黎新材料有限公司工伤预防培训第1场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D02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2026年3月30日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D75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96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B85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97.61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CD1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96.38</w:t>
            </w:r>
          </w:p>
        </w:tc>
      </w:tr>
      <w:tr w14:paraId="2A80E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B9B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E6E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四川天黎新材料有限公司工伤预防培训第2场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960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2026年3月30日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6E5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94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D82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95.38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FCB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97.23</w:t>
            </w:r>
          </w:p>
        </w:tc>
      </w:tr>
      <w:tr w14:paraId="0665C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84F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9FE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四川天黎新材料有限公司工伤预防培训第3场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03F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2026年3月30日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510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95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98C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99.78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983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96.34</w:t>
            </w:r>
          </w:p>
        </w:tc>
      </w:tr>
      <w:tr w14:paraId="30F75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324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9F0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汉源县高山农业示范区项目－幸福美丽乡村路工伤预防培训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C37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7CF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123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51B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99.12</w:t>
            </w:r>
          </w:p>
        </w:tc>
      </w:tr>
      <w:tr w14:paraId="647F2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BD4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CF0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雨城区迎新街片区城市更新项目工伤预防培训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89C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2026年4月2日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F39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D10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94.12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89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99.52</w:t>
            </w:r>
          </w:p>
        </w:tc>
      </w:tr>
      <w:tr w14:paraId="32B9A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962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AD6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石棉县集能新材料有限公司第1场4.2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51F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2026年4月2日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062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49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D50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87.05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422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97.43</w:t>
            </w:r>
          </w:p>
        </w:tc>
      </w:tr>
      <w:tr w14:paraId="739E3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7E6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6A7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石棉县集能新材料有限公司第2场4.2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734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2026年4月2日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68E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67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09A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93.73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A64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92.15</w:t>
            </w:r>
          </w:p>
        </w:tc>
      </w:tr>
      <w:tr w14:paraId="65A24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F58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23B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石棉县集能新材料有限公司第3场4.3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E3D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2026年4月3日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302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56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94C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74.87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34B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97.05</w:t>
            </w:r>
          </w:p>
        </w:tc>
      </w:tr>
      <w:tr w14:paraId="195DA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CC2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73F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石棉县集能新材料有限公司第4场4.3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6B1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2026年4月3日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474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46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951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89.19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C7D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96.25</w:t>
            </w:r>
          </w:p>
        </w:tc>
      </w:tr>
      <w:tr w14:paraId="39569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D45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EBC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四川万里锌业有限公司工伤预防培训第一场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FB1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2026年4月9日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9B7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84B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89.45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A85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96.43</w:t>
            </w:r>
          </w:p>
        </w:tc>
      </w:tr>
      <w:tr w14:paraId="6376D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962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00D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四川万里锌业有限公司工伤预防培训第二场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735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2026年4月9日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E03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66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E2D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90.18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23D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97.62</w:t>
            </w:r>
          </w:p>
        </w:tc>
      </w:tr>
      <w:tr w14:paraId="267AD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6E8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6A8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四川万里锌业有限公司工伤预防培训第三场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932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2026年4月9日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197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AD4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88.51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BF4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96.89</w:t>
            </w:r>
          </w:p>
        </w:tc>
      </w:tr>
      <w:tr w14:paraId="10B27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1CD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945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雅安市雨城区环境卫生管理处工伤预防培训第一场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F3D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900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82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8F0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76.36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5EF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94.12</w:t>
            </w:r>
          </w:p>
        </w:tc>
      </w:tr>
      <w:tr w14:paraId="46A6A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7A7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E03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雅安市雨城区环境卫生管理处工伤预防培训第二场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694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374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4DB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/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578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94.13</w:t>
            </w:r>
          </w:p>
        </w:tc>
      </w:tr>
      <w:tr w14:paraId="15EB9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364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90C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S67邛崃经芦山至荥经段高速公路项目（宝兴段）工伤预防培训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B30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1F5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4EB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DC7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99.93</w:t>
            </w:r>
          </w:p>
        </w:tc>
      </w:tr>
      <w:tr w14:paraId="7114E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CE2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E31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S67邛崃经芦山至荥经段高速公路项目（芦山段）工伤预防培训第一场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650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C96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2E6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754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99.86</w:t>
            </w:r>
          </w:p>
        </w:tc>
      </w:tr>
      <w:tr w14:paraId="732D5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E6C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048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S67邛崃经芦山至荥经段高速公路项目（芦山段）工伤预防培训第二场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A50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55C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1A6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99.13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463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</w:tr>
      <w:tr w14:paraId="09D2A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C3A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B5B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泰悦湾项目工伤预防培训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E67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2026年4月11日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4E8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36B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94.44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070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99.72</w:t>
            </w:r>
          </w:p>
        </w:tc>
      </w:tr>
      <w:tr w14:paraId="29FAE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ACB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668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蜀天蓝城·桃花源工伤预防培训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B64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2026年4月11日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B17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67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6E1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76.22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F53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97.45</w:t>
            </w:r>
          </w:p>
        </w:tc>
      </w:tr>
      <w:tr w14:paraId="13F25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2E3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667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雅州印工伤预防培训第一场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189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2026年4月12日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D9F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93D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89.23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136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99.9</w:t>
            </w:r>
          </w:p>
        </w:tc>
      </w:tr>
      <w:tr w14:paraId="25391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C35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A88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雅州印工伤预防培训第二场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A09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2026年4月12日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5F3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C9B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92.31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839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99.04</w:t>
            </w:r>
          </w:p>
        </w:tc>
      </w:tr>
      <w:tr w14:paraId="057D6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7D6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B4D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国道108汉源县九襄至富林段改建工程4.16第一场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00B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2026年4月16日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79B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66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AFC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92.9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689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98.48</w:t>
            </w:r>
          </w:p>
        </w:tc>
      </w:tr>
      <w:tr w14:paraId="1321C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4F6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ED7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国道108汉源县九襄至富林段改建工程4.16第二场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A56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2026年4月16日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AE4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62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24B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32.86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D89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97.08</w:t>
            </w:r>
          </w:p>
        </w:tc>
      </w:tr>
      <w:tr w14:paraId="429B8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94E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452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雅安市三发岗石新材料有限公司4.17第一场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110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2026年4月17日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27B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ED8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F03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98.91</w:t>
            </w:r>
          </w:p>
        </w:tc>
      </w:tr>
      <w:tr w14:paraId="7EF7B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DA8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A13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雅安市三发岗石新材料有限公司4.17第二场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119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2026年4月17日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30D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1BD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98.18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0A7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</w:tr>
      <w:tr w14:paraId="644F1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A07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408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四川吉地机械工业有限公司工伤预防培训4.18第一场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58A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2026年4月18日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EFC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432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95.56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CE7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95.82</w:t>
            </w:r>
          </w:p>
        </w:tc>
      </w:tr>
      <w:tr w14:paraId="051FB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658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169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四川吉地机械工业有限公司工伤预防培训4.18第二场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391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2026年4月18日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2DC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47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4B4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91.74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FB1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98.02</w:t>
            </w:r>
          </w:p>
        </w:tc>
      </w:tr>
      <w:tr w14:paraId="4A6AB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414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E7B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S541荥经县五宪至龙苍沟段改建工程工伤预防培训第1场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C2C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2026年4月30日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E8C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/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92F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/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825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/</w:t>
            </w:r>
          </w:p>
        </w:tc>
      </w:tr>
      <w:tr w14:paraId="29BAA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254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DEA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S541荥经县五宪至龙苍沟段改建工程工伤预防培训第2场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E0D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2026年4月30日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B42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/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734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/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D98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/</w:t>
            </w:r>
          </w:p>
        </w:tc>
      </w:tr>
      <w:tr w14:paraId="01766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16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F24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市本级－雅安市2025年度工伤预防项目心脑血管疾病预防专项培训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1EC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2026年3月16日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7C1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F6C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95.71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BA2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98.38</w:t>
            </w:r>
          </w:p>
        </w:tc>
      </w:tr>
      <w:tr w14:paraId="2F1DC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7B4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83C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雨城区－雅安市2025年度工伤预防项目心脑血管疾病预防专项培训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5B1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2026年3月16日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592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D9D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85.95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2C8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97.81</w:t>
            </w:r>
          </w:p>
        </w:tc>
      </w:tr>
      <w:tr w14:paraId="62289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4C6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D21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名山区－雅安市2025年度工伤预防项目心脑血管疾病预防专项培训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96C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2026年3月17日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F94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61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469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90.85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9F1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97.99</w:t>
            </w:r>
          </w:p>
        </w:tc>
      </w:tr>
      <w:tr w14:paraId="25B14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51C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84D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宝兴县－雅安市2025年度工伤预防项目心脑血管疾病预防专项培训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70B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2026年3月18日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B68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103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32D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80.43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9FA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97.61</w:t>
            </w:r>
          </w:p>
        </w:tc>
      </w:tr>
      <w:tr w14:paraId="5CF99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3D1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B08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芦山县－雅安市2025年度工伤预防项目心脑血管疾病预防专项培训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A33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2026年3月19日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54A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106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588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94.53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F93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98.44</w:t>
            </w:r>
          </w:p>
        </w:tc>
      </w:tr>
      <w:tr w14:paraId="37EF8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11D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37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366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天全县－雅安市2025年度工伤预防项目心脑血管疾病预防专项培训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934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2026年3月20日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793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122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80C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95.82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7FF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98.27</w:t>
            </w:r>
          </w:p>
        </w:tc>
      </w:tr>
      <w:tr w14:paraId="38BFC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77C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323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荥经县－雅安市2025年度工伤预防项目心脑血管疾病预防专项培训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A21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2026年3月23日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177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105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EF7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91.17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0C9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98.32</w:t>
            </w:r>
          </w:p>
        </w:tc>
      </w:tr>
      <w:tr w14:paraId="56D6B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DDE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FF4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汉源县－雅安市2025年度工伤预防项目心脑血管疾病预防专项培训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E0B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2026年3月24日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7C0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110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220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94.3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DF4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97.89</w:t>
            </w:r>
          </w:p>
        </w:tc>
      </w:tr>
      <w:tr w14:paraId="6CFD9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B2A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B59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石棉县－雅安市2025年度工伤预防项目心脑血管疾病预防专项培训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B8C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2026年3月25日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8C4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111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AF3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84.43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9B5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97.61</w:t>
            </w:r>
          </w:p>
        </w:tc>
      </w:tr>
      <w:tr w14:paraId="61A34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626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41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0D8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雅安市在建项目管理人员工伤预防专项培训（第一场）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A40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2026年4月15日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1BD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104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9C3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88.24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DFA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97.93</w:t>
            </w:r>
          </w:p>
        </w:tc>
      </w:tr>
      <w:tr w14:paraId="7A625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C77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0F2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雅安市在建项目管理人员工伤预防专项培训（第二场）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2C4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2026年4月16日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B77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103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723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94.31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311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98.39</w:t>
            </w:r>
          </w:p>
        </w:tc>
      </w:tr>
      <w:tr w14:paraId="039CB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96C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总计</w:t>
            </w:r>
          </w:p>
        </w:tc>
        <w:tc>
          <w:tcPr>
            <w:tcW w:w="8100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47B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7F3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kern w:val="2"/>
                <w:sz w:val="24"/>
                <w:szCs w:val="24"/>
                <w:highlight w:val="none"/>
                <w:lang w:val="en-US" w:eastAsia="zh-CN"/>
              </w:rPr>
              <w:t>2574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B78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E54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</w:tbl>
    <w:p w14:paraId="59F6D643">
      <w:pPr>
        <w:rPr>
          <w:rFonts w:hint="default" w:ascii="Times New Roman" w:hAnsi="Times New Roman" w:cs="Times New Roman"/>
        </w:rPr>
      </w:pPr>
    </w:p>
    <w:p w14:paraId="00F4696E"/>
    <w:sectPr>
      <w:footerReference r:id="rId6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how" w:date="2026-04-20T17:33:11Z" w:initials="">
    <w:p w14:paraId="43747243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请项目经理核实补充相关数据</w:t>
      </w:r>
    </w:p>
    <w:p w14:paraId="7757414C">
      <w:pPr>
        <w:pStyle w:val="3"/>
        <w:rPr>
          <w:rFonts w:hint="default"/>
          <w:lang w:val="en-US" w:eastAsia="zh-CN"/>
        </w:rPr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757414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angSong_GB2312">
    <w:altName w:val="仿宋_GB2312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91E52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FD6D4B">
                          <w:pPr>
                            <w:pStyle w:val="5"/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FD6D4B">
                    <w:pPr>
                      <w:pStyle w:val="5"/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64CB7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BD9D64">
                          <w:pPr>
                            <w:pStyle w:val="5"/>
                            <w:rPr>
                              <w:rFonts w:hint="default" w:ascii="仿宋_GB2312" w:hAnsi="仿宋_GB2312" w:eastAsia="仿宋_GB2312" w:cs="仿宋_GB2312"/>
                              <w:b w:val="0"/>
                              <w:bCs w:val="0"/>
                              <w:color w:val="auto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default" w:ascii="仿宋_GB2312" w:hAnsi="仿宋_GB2312" w:eastAsia="仿宋_GB2312" w:cs="仿宋_GB2312"/>
                              <w:b w:val="0"/>
                              <w:bCs w:val="0"/>
                              <w:color w:val="auto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hint="default" w:ascii="仿宋_GB2312" w:hAnsi="仿宋_GB2312" w:eastAsia="仿宋_GB2312" w:cs="仿宋_GB2312"/>
                              <w:b w:val="0"/>
                              <w:bCs w:val="0"/>
                              <w:color w:val="auto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仿宋_GB2312" w:hAnsi="仿宋_GB2312" w:eastAsia="仿宋_GB2312" w:cs="仿宋_GB2312"/>
                              <w:b w:val="0"/>
                              <w:bCs w:val="0"/>
                              <w:color w:val="auto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仿宋_GB2312" w:hAnsi="仿宋_GB2312" w:eastAsia="仿宋_GB2312" w:cs="仿宋_GB2312"/>
                              <w:b w:val="0"/>
                              <w:bCs w:val="0"/>
                              <w:color w:val="auto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仿宋_GB2312" w:hAnsi="仿宋_GB2312" w:eastAsia="仿宋_GB2312" w:cs="仿宋_GB2312"/>
                              <w:b w:val="0"/>
                              <w:bCs w:val="0"/>
                              <w:color w:val="auto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仿宋_GB2312" w:hAnsi="仿宋_GB2312" w:eastAsia="仿宋_GB2312" w:cs="仿宋_GB2312"/>
                              <w:b w:val="0"/>
                              <w:bCs w:val="0"/>
                              <w:color w:val="auto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default" w:ascii="仿宋_GB2312" w:hAnsi="仿宋_GB2312" w:eastAsia="仿宋_GB2312" w:cs="仿宋_GB2312"/>
                              <w:b w:val="0"/>
                              <w:bCs w:val="0"/>
                              <w:color w:val="auto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BD9D64">
                    <w:pPr>
                      <w:pStyle w:val="5"/>
                      <w:rPr>
                        <w:rFonts w:hint="default" w:ascii="仿宋_GB2312" w:hAnsi="仿宋_GB2312" w:eastAsia="仿宋_GB2312" w:cs="仿宋_GB2312"/>
                        <w:b w:val="0"/>
                        <w:bCs w:val="0"/>
                        <w:color w:val="auto"/>
                        <w:sz w:val="32"/>
                        <w:szCs w:val="32"/>
                      </w:rPr>
                    </w:pPr>
                    <w:r>
                      <w:rPr>
                        <w:rFonts w:hint="default" w:ascii="仿宋_GB2312" w:hAnsi="仿宋_GB2312" w:eastAsia="仿宋_GB2312" w:cs="仿宋_GB2312"/>
                        <w:b w:val="0"/>
                        <w:bCs w:val="0"/>
                        <w:color w:val="auto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hint="default" w:ascii="仿宋_GB2312" w:hAnsi="仿宋_GB2312" w:eastAsia="仿宋_GB2312" w:cs="仿宋_GB2312"/>
                        <w:b w:val="0"/>
                        <w:bCs w:val="0"/>
                        <w:color w:val="auto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仿宋_GB2312" w:hAnsi="仿宋_GB2312" w:eastAsia="仿宋_GB2312" w:cs="仿宋_GB2312"/>
                        <w:b w:val="0"/>
                        <w:bCs w:val="0"/>
                        <w:color w:val="auto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仿宋_GB2312" w:hAnsi="仿宋_GB2312" w:eastAsia="仿宋_GB2312" w:cs="仿宋_GB2312"/>
                        <w:b w:val="0"/>
                        <w:bCs w:val="0"/>
                        <w:color w:val="auto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仿宋_GB2312" w:hAnsi="仿宋_GB2312" w:eastAsia="仿宋_GB2312" w:cs="仿宋_GB2312"/>
                        <w:b w:val="0"/>
                        <w:bCs w:val="0"/>
                        <w:color w:val="auto"/>
                        <w:sz w:val="32"/>
                        <w:szCs w:val="32"/>
                      </w:rPr>
                      <w:t>1</w:t>
                    </w:r>
                    <w:r>
                      <w:rPr>
                        <w:rFonts w:hint="default" w:ascii="仿宋_GB2312" w:hAnsi="仿宋_GB2312" w:eastAsia="仿宋_GB2312" w:cs="仿宋_GB2312"/>
                        <w:b w:val="0"/>
                        <w:bCs w:val="0"/>
                        <w:color w:val="auto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hint="default" w:ascii="仿宋_GB2312" w:hAnsi="仿宋_GB2312" w:eastAsia="仿宋_GB2312" w:cs="仿宋_GB2312"/>
                        <w:b w:val="0"/>
                        <w:bCs w:val="0"/>
                        <w:color w:val="auto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how">
    <w15:presenceInfo w15:providerId="WPS Office" w15:userId="24966522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363998"/>
    <w:rsid w:val="7336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semiHidden/>
    <w:unhideWhenUsed/>
    <w:qFormat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1"/>
      <w:lang w:val="en-US" w:eastAsia="zh-CN" w:bidi="ar"/>
    </w:rPr>
  </w:style>
  <w:style w:type="paragraph" w:styleId="3">
    <w:name w:val="annotation text"/>
    <w:basedOn w:val="1"/>
    <w:uiPriority w:val="0"/>
    <w:pPr>
      <w:jc w:val="left"/>
    </w:pPr>
  </w:style>
  <w:style w:type="paragraph" w:styleId="4">
    <w:name w:val="Body Text"/>
    <w:basedOn w:val="1"/>
    <w:qFormat/>
    <w:uiPriority w:val="0"/>
    <w:pPr>
      <w:keepNext w:val="0"/>
      <w:keepLines w:val="0"/>
      <w:widowControl w:val="0"/>
      <w:suppressLineNumbers w:val="0"/>
      <w:spacing w:after="120" w:afterAutospacing="0"/>
      <w:jc w:val="both"/>
    </w:pPr>
    <w:rPr>
      <w:rFonts w:hint="default" w:ascii="Calibri" w:hAnsi="Calibri" w:eastAsia="宋体" w:cs="Times New Roman"/>
      <w:kern w:val="2"/>
      <w:sz w:val="21"/>
      <w:szCs w:val="21"/>
      <w:lang w:val="en-US" w:eastAsia="zh-CN" w:bidi="ar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Title"/>
    <w:basedOn w:val="1"/>
    <w:qFormat/>
    <w:uiPriority w:val="0"/>
    <w:pPr>
      <w:keepNext w:val="0"/>
      <w:keepLines w:val="0"/>
      <w:widowControl w:val="0"/>
      <w:suppressLineNumbers w:val="0"/>
      <w:spacing w:before="240" w:beforeLines="0" w:beforeAutospacing="0" w:after="60" w:afterLines="0" w:afterAutospacing="0"/>
      <w:jc w:val="center"/>
      <w:outlineLvl w:val="0"/>
    </w:pPr>
    <w:rPr>
      <w:rFonts w:hint="default" w:ascii="Arial" w:hAnsi="Arial" w:eastAsia="宋体" w:cs="Times New Roman"/>
      <w:b/>
      <w:kern w:val="2"/>
      <w:sz w:val="32"/>
      <w:szCs w:val="3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8d1210-0a70-4800-957e-1c020be8e3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2026-04-20T09:08:00Z</dcterms:created>
  <dc:creator>Show</dc:creator>
  <cp:lastModifiedBy>Show</cp:lastModifiedBy>
  <dcterms:modified xsi:type="dcterms:W3CDTF">2026-04-20T09:41:13Z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C692EE2915EA4C76BFADB88F529C6C01_11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