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00E8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default" w:ascii="Times New Roman" w:hAnsi="Times New Roman" w:eastAsia="方正小标宋简体" w:cs="Times New Roman"/>
          <w:spacing w:val="11"/>
          <w:sz w:val="44"/>
          <w:szCs w:val="44"/>
        </w:rPr>
      </w:pPr>
      <w:bookmarkStart w:id="0" w:name="_GoBack"/>
      <w:r>
        <w:rPr>
          <w:rFonts w:hint="default" w:ascii="Times New Roman" w:hAnsi="Times New Roman" w:eastAsia="方正小标宋简体" w:cs="Times New Roman"/>
          <w:spacing w:val="11"/>
          <w:sz w:val="44"/>
          <w:szCs w:val="44"/>
        </w:rPr>
        <w:t>攀枝花市2026年工伤保险（工伤预防）主题集中宣传日活动方案</w:t>
      </w:r>
    </w:p>
    <w:bookmarkEnd w:id="0"/>
    <w:p w14:paraId="39896B40">
      <w:pPr>
        <w:pStyle w:val="2"/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</w:pPr>
    </w:p>
    <w:p w14:paraId="323564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jc w:val="left"/>
        <w:textAlignment w:val="auto"/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为全面贯彻落实《四川省人力资源和社会保障厅关于组织开展2026年工伤保险（工伤预防）主题集中宣传月活动的通知》要求，结合攀枝花市工伤预防工作实际，制定本活动方案。</w:t>
      </w:r>
    </w:p>
    <w:p w14:paraId="246F186C">
      <w:pPr>
        <w:snapToGrid w:val="0"/>
        <w:spacing w:line="600" w:lineRule="exact"/>
        <w:ind w:firstLine="640" w:firstLineChars="200"/>
        <w:jc w:val="left"/>
        <w:rPr>
          <w:rFonts w:hint="default" w:ascii="Times New Roman" w:hAnsi="Times New Roman" w:eastAsia="黑体" w:cs="Times New Roman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黑体" w:cs="Times New Roman"/>
          <w:sz w:val="32"/>
          <w:szCs w:val="32"/>
          <w:highlight w:val="none"/>
          <w:lang w:val="en-US" w:eastAsia="zh-CN"/>
        </w:rPr>
        <w:t>一、活动主题</w:t>
      </w:r>
    </w:p>
    <w:p w14:paraId="10606CB4">
      <w:pPr>
        <w:snapToGrid w:val="0"/>
        <w:spacing w:line="600" w:lineRule="exact"/>
        <w:ind w:firstLine="640" w:firstLineChars="200"/>
        <w:jc w:val="left"/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eastAsia="zh-CN"/>
          <w:woUserID w:val="1"/>
        </w:rPr>
        <w:t>主标题：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树牢预防优先理念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，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不断提升职业伤害预防意识和能力</w:t>
      </w:r>
    </w:p>
    <w:p w14:paraId="10FC23F8">
      <w:pPr>
        <w:snapToGrid w:val="0"/>
        <w:spacing w:line="600" w:lineRule="exact"/>
        <w:ind w:firstLine="640" w:firstLineChars="200"/>
        <w:jc w:val="left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仿宋_GB2312" w:hAnsi="仿宋_GB2312" w:eastAsia="仿宋_GB2312" w:cs="仿宋_GB2312"/>
          <w:sz w:val="32"/>
          <w:szCs w:val="32"/>
          <w:highlight w:val="none"/>
          <w:lang w:eastAsia="zh-CN"/>
          <w:woUserID w:val="1"/>
        </w:rPr>
        <w:t>副标题：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攀枝花市2026年工伤保险（工伤预防）主题集中宣传日</w:t>
      </w:r>
    </w:p>
    <w:p w14:paraId="1E8390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jc w:val="left"/>
        <w:textAlignment w:val="auto"/>
        <w:rPr>
          <w:rFonts w:hint="default" w:ascii="Times New Roman" w:hAnsi="Times New Roman" w:eastAsia="黑体" w:cs="Times New Roman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黑体" w:cs="Times New Roman"/>
          <w:kern w:val="2"/>
          <w:sz w:val="32"/>
          <w:szCs w:val="32"/>
          <w:lang w:val="en-US" w:eastAsia="zh-CN" w:bidi="ar-SA"/>
        </w:rPr>
        <w:t>二、时间地点</w:t>
      </w:r>
    </w:p>
    <w:p w14:paraId="1E48644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after="0"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kern w:val="2"/>
          <w:sz w:val="32"/>
          <w:szCs w:val="32"/>
          <w:highlight w:val="yellow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kern w:val="2"/>
          <w:sz w:val="32"/>
          <w:szCs w:val="32"/>
          <w:highlight w:val="yellow"/>
          <w:lang w:val="en-US" w:eastAsia="zh-CN" w:bidi="ar-SA"/>
        </w:rPr>
        <w:t>时间：待定</w:t>
      </w:r>
    </w:p>
    <w:p w14:paraId="6E558F0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after="0"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kern w:val="2"/>
          <w:sz w:val="32"/>
          <w:szCs w:val="32"/>
          <w:highlight w:val="yellow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kern w:val="2"/>
          <w:sz w:val="32"/>
          <w:szCs w:val="32"/>
          <w:highlight w:val="yellow"/>
          <w:lang w:val="en-US" w:eastAsia="zh-CN" w:bidi="ar-SA"/>
        </w:rPr>
        <w:t>地点：待定</w:t>
      </w:r>
    </w:p>
    <w:p w14:paraId="22B939A9">
      <w:pPr>
        <w:snapToGrid w:val="0"/>
        <w:spacing w:line="600" w:lineRule="exact"/>
        <w:ind w:firstLine="640" w:firstLineChars="200"/>
        <w:jc w:val="left"/>
        <w:rPr>
          <w:rFonts w:hint="default" w:ascii="Times New Roman" w:hAnsi="Times New Roman" w:eastAsia="黑体" w:cs="Times New Roman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黑体" w:cs="Times New Roman"/>
          <w:sz w:val="32"/>
          <w:szCs w:val="32"/>
          <w:highlight w:val="none"/>
          <w:lang w:val="en-US" w:eastAsia="zh-CN"/>
        </w:rPr>
        <w:t>三、活动对象</w:t>
      </w:r>
    </w:p>
    <w:p w14:paraId="27F8BBEA">
      <w:pPr>
        <w:snapToGrid w:val="0"/>
        <w:spacing w:line="600" w:lineRule="exact"/>
        <w:ind w:firstLine="640" w:firstLineChars="200"/>
        <w:jc w:val="left"/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以攀枝花市企业的一线职工、班组长、安全管理人员、企业人事或社保经办人员为核心重点群体，同时面向灵活就业人员、个体工商户及社区居民开放参与。</w:t>
      </w:r>
    </w:p>
    <w:p w14:paraId="2204FAA9">
      <w:pPr>
        <w:snapToGrid w:val="0"/>
        <w:spacing w:line="600" w:lineRule="exact"/>
        <w:ind w:firstLine="640" w:firstLineChars="200"/>
        <w:jc w:val="left"/>
        <w:rPr>
          <w:rFonts w:hint="default" w:ascii="Times New Roman" w:hAnsi="Times New Roman" w:eastAsia="黑体" w:cs="Times New Roman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黑体" w:cs="Times New Roman"/>
          <w:sz w:val="32"/>
          <w:szCs w:val="32"/>
          <w:highlight w:val="none"/>
          <w:lang w:val="en-US" w:eastAsia="zh-CN"/>
        </w:rPr>
        <w:t>四、组织单位</w:t>
      </w:r>
    </w:p>
    <w:p w14:paraId="5371AEE0">
      <w:pPr>
        <w:snapToGrid w:val="0"/>
        <w:spacing w:line="600" w:lineRule="exact"/>
        <w:ind w:firstLine="643" w:firstLineChars="200"/>
        <w:jc w:val="left"/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主办单位：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攀枝花市人力资源和社会保障局</w:t>
      </w:r>
    </w:p>
    <w:p w14:paraId="4BABB90A">
      <w:pPr>
        <w:snapToGrid w:val="0"/>
        <w:spacing w:line="560" w:lineRule="exact"/>
        <w:ind w:firstLine="643" w:firstLineChars="200"/>
        <w:jc w:val="left"/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协办单位：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攀枝花市社会保险事务中心、攀枝花市东区人力资源和社会保障局</w:t>
      </w:r>
    </w:p>
    <w:p w14:paraId="40C904BB">
      <w:pPr>
        <w:pStyle w:val="2"/>
        <w:spacing w:after="0" w:line="560" w:lineRule="exact"/>
        <w:ind w:left="0" w:leftChars="0" w:firstLine="643" w:firstLineChars="2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承办单位：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成都易训企业管理咨询有限公司</w:t>
      </w:r>
    </w:p>
    <w:p w14:paraId="400FC225">
      <w:pPr>
        <w:snapToGrid w:val="0"/>
        <w:spacing w:line="560" w:lineRule="exact"/>
        <w:ind w:firstLine="640" w:firstLineChars="200"/>
        <w:jc w:val="left"/>
        <w:rPr>
          <w:rFonts w:hint="default" w:ascii="Times New Roman" w:hAnsi="Times New Roman" w:eastAsia="黑体" w:cs="Times New Roman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黑体" w:cs="Times New Roman"/>
          <w:sz w:val="32"/>
          <w:szCs w:val="32"/>
          <w:highlight w:val="none"/>
          <w:lang w:val="en-US" w:eastAsia="zh-CN"/>
        </w:rPr>
        <w:t>五、活动内容</w:t>
      </w:r>
    </w:p>
    <w:p w14:paraId="50FAB2E1">
      <w:pPr>
        <w:snapToGrid w:val="0"/>
        <w:spacing w:line="560" w:lineRule="exact"/>
        <w:ind w:firstLine="640" w:firstLineChars="200"/>
        <w:jc w:val="left"/>
        <w:rPr>
          <w:rFonts w:hint="default" w:ascii="Times New Roman" w:hAnsi="Times New Roman" w:eastAsia="楷体" w:cs="Times New Roman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sz w:val="32"/>
          <w:szCs w:val="32"/>
          <w:highlight w:val="none"/>
          <w:lang w:val="en-US" w:eastAsia="zh-CN"/>
        </w:rPr>
        <w:t>（一）活动简介</w:t>
      </w:r>
    </w:p>
    <w:p w14:paraId="1A7C35A6">
      <w:pPr>
        <w:snapToGrid w:val="0"/>
        <w:spacing w:line="560" w:lineRule="exact"/>
        <w:ind w:firstLine="640" w:firstLineChars="200"/>
        <w:jc w:val="left"/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活动紧扣“树牢预防优先理念——不断提升工伤预防意识和能力”主题，结合2026年工伤保险（工伤预防）集中宣传月活动要求，针对企业职工，创新采取“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文艺展演+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政策宣讲+沉浸体验+互动游戏+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知识问答+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现场服务+资料发放”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多样化融合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宣传模式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，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让企业职工深入了解工伤保险政策、工伤认定流程、待遇申领标准以及日常工伤预防知识，推动用人单位自觉依法参保、职工主动维护自身权益，实现工伤保险参保扩面和工伤预防能力双提升。</w:t>
      </w:r>
    </w:p>
    <w:p w14:paraId="1F4ADB43">
      <w:pPr>
        <w:snapToGrid w:val="0"/>
        <w:spacing w:line="600" w:lineRule="exact"/>
        <w:ind w:firstLine="640" w:firstLineChars="200"/>
        <w:jc w:val="left"/>
        <w:rPr>
          <w:rFonts w:hint="default" w:ascii="Times New Roman" w:hAnsi="Times New Roman" w:eastAsia="楷体" w:cs="Times New Roman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sz w:val="32"/>
          <w:szCs w:val="32"/>
          <w:highlight w:val="none"/>
          <w:lang w:val="en-US" w:eastAsia="zh-CN"/>
        </w:rPr>
        <w:t>（二）具体内容</w:t>
      </w:r>
    </w:p>
    <w:p w14:paraId="27C34C9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left="0" w:leftChars="0" w:firstLine="643" w:firstLineChars="200"/>
        <w:textAlignment w:val="auto"/>
        <w:rPr>
          <w:rFonts w:hint="default" w:ascii="Times New Roman" w:hAnsi="Times New Roman" w:eastAsia="仿宋_GB2312" w:cs="Times New Roman"/>
          <w:b/>
          <w:bCs/>
          <w:kern w:val="2"/>
          <w:sz w:val="32"/>
          <w:szCs w:val="32"/>
          <w:highlight w:val="yellow"/>
          <w:lang w:val="en-US" w:eastAsia="zh-CN" w:bidi="ar-SA"/>
        </w:rPr>
      </w:pPr>
      <w:r>
        <w:rPr>
          <w:rFonts w:hint="eastAsia" w:ascii="Times New Roman" w:hAnsi="Times New Roman" w:eastAsia="仿宋_GB2312" w:cs="Times New Roman"/>
          <w:b/>
          <w:bCs/>
          <w:kern w:val="2"/>
          <w:sz w:val="32"/>
          <w:szCs w:val="32"/>
          <w:highlight w:val="yellow"/>
          <w:lang w:val="en-US" w:eastAsia="zh-CN" w:bidi="ar-SA"/>
        </w:rPr>
        <w:t>1.</w:t>
      </w:r>
      <w:r>
        <w:rPr>
          <w:rFonts w:hint="default" w:ascii="Times New Roman" w:hAnsi="Times New Roman" w:eastAsia="仿宋_GB2312" w:cs="Times New Roman"/>
          <w:b/>
          <w:bCs/>
          <w:kern w:val="2"/>
          <w:sz w:val="32"/>
          <w:szCs w:val="32"/>
          <w:highlight w:val="yellow"/>
          <w:lang w:val="en-US" w:eastAsia="zh-CN" w:bidi="ar-SA"/>
        </w:rPr>
        <w:t>文艺展演</w:t>
      </w:r>
    </w:p>
    <w:p w14:paraId="098A359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left="0" w:leftChars="0" w:firstLine="640" w:firstLineChars="200"/>
        <w:textAlignment w:val="auto"/>
        <w:rPr>
          <w:rFonts w:hint="default" w:ascii="Times New Roman" w:hAnsi="Times New Roman" w:eastAsia="仿宋_GB2312" w:cs="Times New Roman"/>
          <w:kern w:val="2"/>
          <w:sz w:val="32"/>
          <w:szCs w:val="32"/>
          <w:highlight w:val="yellow"/>
          <w:lang w:val="en-US" w:eastAsia="zh-CN" w:bidi="ar-SA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  <w:highlight w:val="yellow"/>
          <w:lang w:val="en-US" w:eastAsia="zh-CN" w:bidi="ar-SA"/>
        </w:rPr>
        <w:t>（1）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highlight w:val="yellow"/>
          <w:lang w:val="en-US" w:eastAsia="zh-CN" w:bidi="ar-SA"/>
        </w:rPr>
        <w:t>场地配置：活动现场搭建专业演出舞台，聘请专业主持人全程统筹整场活动串联、互动控场。</w:t>
      </w:r>
    </w:p>
    <w:p w14:paraId="453F937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left="0" w:leftChars="0" w:firstLine="640" w:firstLineChars="200"/>
        <w:textAlignment w:val="auto"/>
        <w:rPr>
          <w:rFonts w:hint="default" w:ascii="Times New Roman" w:hAnsi="Times New Roman" w:eastAsia="仿宋_GB2312" w:cs="Times New Roman"/>
          <w:kern w:val="2"/>
          <w:sz w:val="32"/>
          <w:szCs w:val="32"/>
          <w:highlight w:val="yellow"/>
          <w:lang w:val="en-US" w:eastAsia="zh-CN" w:bidi="ar-SA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  <w:highlight w:val="yellow"/>
          <w:lang w:val="en-US" w:eastAsia="zh-CN" w:bidi="ar-SA"/>
        </w:rPr>
        <w:t>（2）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highlight w:val="yellow"/>
          <w:lang w:val="en-US" w:eastAsia="zh-CN" w:bidi="ar-SA"/>
        </w:rPr>
        <w:t>节目来源：联动属地社区，邀约社区中老年文艺团体参演，共计编排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highlight w:val="yellow"/>
          <w:lang w:val="en-US" w:eastAsia="zh-CN" w:bidi="ar-SA"/>
        </w:rPr>
        <w:t>3—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highlight w:val="yellow"/>
          <w:lang w:val="en-US" w:eastAsia="zh-CN" w:bidi="ar-SA"/>
        </w:rPr>
        <w:t>5个文艺节目，以歌舞、快板等群众喜闻乐见形式编排，部分节目融入工伤预防、工伤保险科普内容，寓教于乐。</w:t>
      </w:r>
    </w:p>
    <w:p w14:paraId="503E9718">
      <w:pPr>
        <w:snapToGrid w:val="0"/>
        <w:spacing w:line="600" w:lineRule="exact"/>
        <w:ind w:firstLine="643" w:firstLineChars="200"/>
        <w:jc w:val="left"/>
        <w:rPr>
          <w:rFonts w:hint="default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2.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普法宣讲与政策解读</w:t>
      </w:r>
    </w:p>
    <w:p w14:paraId="133497D8">
      <w:pPr>
        <w:snapToGrid w:val="0"/>
        <w:spacing w:line="600" w:lineRule="exact"/>
        <w:ind w:firstLine="640" w:firstLineChars="200"/>
        <w:jc w:val="left"/>
        <w:rPr>
          <w:rFonts w:hint="default" w:ascii="Times New Roman" w:hAnsi="Times New Roman" w:eastAsia="仿宋_GB2312" w:cs="Times New Roman"/>
          <w:sz w:val="32"/>
          <w:szCs w:val="32"/>
          <w:highlight w:val="yellow"/>
          <w:lang w:eastAsia="zh-CN"/>
          <w:woUserID w:val="1"/>
        </w:rPr>
      </w:pP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现场设置政策宣讲区，重点围绕以下内容开展宣讲：</w:t>
      </w:r>
    </w:p>
    <w:p w14:paraId="75602E3D">
      <w:pPr>
        <w:snapToGrid w:val="0"/>
        <w:spacing w:line="600" w:lineRule="exact"/>
        <w:ind w:firstLine="640" w:firstLineChars="200"/>
        <w:jc w:val="left"/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（1）工伤保险基本政策：《工伤保险条例》《社会保险法》核心条款解读，涵盖参保范围、缴费标准、工伤认定情形、劳动能力鉴定、待遇项目及标准等。</w:t>
      </w:r>
    </w:p>
    <w:p w14:paraId="5719FD6C">
      <w:pPr>
        <w:snapToGrid w:val="0"/>
        <w:spacing w:line="600" w:lineRule="exact"/>
        <w:ind w:firstLine="640" w:firstLineChars="200"/>
        <w:jc w:val="left"/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（2）工伤认定与待遇申领流程：结合实际案例，详细介绍发生工伤后如何申请认定、需要哪些材料等。</w:t>
      </w:r>
    </w:p>
    <w:p w14:paraId="0C0C7CB0">
      <w:pPr>
        <w:snapToGrid w:val="0"/>
        <w:spacing w:line="600" w:lineRule="exact"/>
        <w:ind w:firstLine="640" w:firstLineChars="200"/>
        <w:jc w:val="left"/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（3）职业病防治：针对攀枝花市矿山、制造、建筑等行业特点，讲解尘肺病、噪声聋等常见职业病的危害及防护措施。</w:t>
      </w:r>
    </w:p>
    <w:p w14:paraId="112CAB93">
      <w:pPr>
        <w:snapToGrid w:val="0"/>
        <w:spacing w:line="600" w:lineRule="exact"/>
        <w:ind w:firstLine="640" w:firstLineChars="200"/>
        <w:jc w:val="left"/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（4）典型事故案例警示：结合真实工伤事故案例，分析事故原因、责任认定、参保与否的待遇差异，以案说法，强化警示作用。</w:t>
      </w:r>
    </w:p>
    <w:p w14:paraId="5401454E">
      <w:pPr>
        <w:snapToGrid w:val="0"/>
        <w:spacing w:line="600" w:lineRule="exact"/>
        <w:ind w:firstLine="643" w:firstLineChars="200"/>
        <w:jc w:val="left"/>
        <w:rPr>
          <w:rFonts w:hint="default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3.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沉浸式体验</w:t>
      </w:r>
    </w:p>
    <w:p w14:paraId="2591FA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jc w:val="left"/>
        <w:textAlignment w:val="auto"/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现场配备多套体验设备，让企业职工“身临其境”感受事故风险。</w:t>
      </w:r>
    </w:p>
    <w:p w14:paraId="53738B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jc w:val="left"/>
        <w:textAlignment w:val="auto"/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（1）模拟触电体验仪：让职工安全、可控地体验触电感觉，加深对临时用电规范、设备接地保护等重要性的认识。</w:t>
      </w:r>
    </w:p>
    <w:p w14:paraId="7B0A8D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jc w:val="left"/>
        <w:textAlignment w:val="auto"/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（2）醉酒模拟体验：佩戴醉酒模拟眼镜进行直线行走、捡拾物品等测试，让职工直观感受醉酒状态下的失衡和判断力下降，警示工作期间严禁饮酒。</w:t>
      </w:r>
    </w:p>
    <w:p w14:paraId="4F1679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jc w:val="left"/>
        <w:textAlignment w:val="auto"/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（3）急救实操教学：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eastAsia="zh-CN"/>
          <w:woUserID w:val="1"/>
        </w:rPr>
        <w:t>工作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人员现场演示并指导职工练习心肺复苏、海姆立克急救法等应急救护技能，提升职工突发事故处置能力。</w:t>
      </w:r>
    </w:p>
    <w:p w14:paraId="2E28D1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3" w:firstLineChars="200"/>
        <w:jc w:val="left"/>
        <w:textAlignment w:val="auto"/>
        <w:rPr>
          <w:rFonts w:hint="default" w:ascii="Times New Roman" w:hAnsi="Times New Roman" w:eastAsia="仿宋_GB2312" w:cs="Times New Roman"/>
          <w:sz w:val="32"/>
          <w:szCs w:val="32"/>
          <w:highlight w:val="yellow"/>
          <w:lang w:val="en-US" w:eastAsia="zh-CN"/>
        </w:rPr>
      </w:pP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yellow"/>
          <w:lang w:val="en-US" w:eastAsia="zh-CN"/>
        </w:rPr>
        <w:t>4.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highlight w:val="yellow"/>
          <w:lang w:val="en-US" w:eastAsia="zh-CN"/>
        </w:rPr>
        <w:t>游戏互动区</w:t>
      </w:r>
    </w:p>
    <w:p w14:paraId="3A9A068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after="0" w:line="560" w:lineRule="exact"/>
        <w:ind w:left="0" w:leftChars="0" w:firstLine="640" w:firstLineChars="200"/>
        <w:textAlignment w:val="auto"/>
        <w:rPr>
          <w:rFonts w:hint="default" w:ascii="Times New Roman" w:hAnsi="Times New Roman" w:eastAsia="仿宋_GB2312" w:cs="Times New Roman"/>
          <w:kern w:val="2"/>
          <w:sz w:val="32"/>
          <w:szCs w:val="32"/>
          <w:highlight w:val="yellow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kern w:val="2"/>
          <w:sz w:val="32"/>
          <w:szCs w:val="32"/>
          <w:highlight w:val="yellow"/>
          <w:lang w:val="en-US" w:eastAsia="zh-CN" w:bidi="ar-SA"/>
        </w:rPr>
        <w:t>（1）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highlight w:val="yellow"/>
          <w:lang w:val="en-US" w:eastAsia="zh-CN" w:bidi="ar-SA"/>
        </w:rPr>
        <w:t>有奖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highlight w:val="yellow"/>
          <w:lang w:val="en-US" w:eastAsia="zh-CN" w:bidi="ar-SA"/>
        </w:rPr>
        <w:t>知识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highlight w:val="yellow"/>
          <w:lang w:val="en-US" w:eastAsia="zh-CN" w:bidi="ar-SA"/>
        </w:rPr>
        <w:t>问答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highlight w:val="yellow"/>
          <w:lang w:val="en-US" w:eastAsia="zh-CN" w:bidi="ar-SA"/>
        </w:rPr>
        <w:t>：摆放工伤保险、职业病防治、工伤预防科普专题展板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highlight w:val="yellow"/>
          <w:lang w:val="en-US" w:eastAsia="zh-CN" w:bidi="ar-SA"/>
        </w:rPr>
        <w:t>，提前准备100道知识问答题目，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highlight w:val="yellow"/>
          <w:lang w:val="en-US" w:eastAsia="zh-CN" w:bidi="ar-SA"/>
        </w:rPr>
        <w:t>由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highlight w:val="yellow"/>
          <w:lang w:val="en-US" w:eastAsia="zh-CN" w:bidi="ar-SA"/>
        </w:rPr>
        <w:t>工作人员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highlight w:val="yellow"/>
          <w:lang w:val="en-US" w:eastAsia="zh-CN" w:bidi="ar-SA"/>
        </w:rPr>
        <w:t>现场随机出题，内容围绕参保政策、工伤申报、安全防护、职业病防控等知识点，现场群众举手作答，回答正确即时发放宣传礼品，强化现场学习氛围。</w:t>
      </w:r>
    </w:p>
    <w:p w14:paraId="08917D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jc w:val="left"/>
        <w:textAlignment w:val="auto"/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（2）隐患来找茬：展示工厂车间、建筑工地等场景图片，参与者找出安全隐患点（如未戴安全帽、电线私拉乱接、防护罩缺失等），由工作人员讲解正确做法。</w:t>
      </w:r>
    </w:p>
    <w:p w14:paraId="344781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jc w:val="left"/>
        <w:textAlignment w:val="auto"/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（3）工伤保险翻翻乐：设置“10×10”活动翻转卡片墙，每张卡片背面有一个工伤保险相关问题，参与者翻转任意卡片并答对问题，即可获得对应格子内的宣传礼品。</w:t>
      </w:r>
    </w:p>
    <w:p w14:paraId="3903B1DF">
      <w:pPr>
        <w:snapToGrid w:val="0"/>
        <w:spacing w:line="600" w:lineRule="exact"/>
        <w:ind w:firstLine="643" w:firstLineChars="200"/>
        <w:jc w:val="left"/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5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.政策咨询与服务指导</w:t>
      </w:r>
    </w:p>
    <w:p w14:paraId="6DB82BAD">
      <w:pPr>
        <w:snapToGrid w:val="0"/>
        <w:spacing w:line="600" w:lineRule="exact"/>
        <w:ind w:firstLine="640" w:firstLineChars="200"/>
        <w:jc w:val="left"/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（1）现场设置工伤保险政策咨询台，由市社保中心业务骨干组成咨询队伍，面对面解答企业职工关于参保登记、工伤认定、待遇申领、劳动维权等疑问。</w:t>
      </w:r>
    </w:p>
    <w:p w14:paraId="579E9D20">
      <w:pPr>
        <w:snapToGrid w:val="0"/>
        <w:spacing w:line="600" w:lineRule="exact"/>
        <w:ind w:firstLine="640" w:firstLineChars="200"/>
        <w:jc w:val="left"/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（2）放置政策咨询登记册，详细记录咨询问题、联系方式及答疑情况，建立服务台账，对未能现场解决的问题安排专人跟踪回访。</w:t>
      </w:r>
    </w:p>
    <w:p w14:paraId="71391341">
      <w:pPr>
        <w:snapToGrid w:val="0"/>
        <w:spacing w:line="600" w:lineRule="exact"/>
        <w:ind w:firstLine="643" w:firstLineChars="200"/>
        <w:jc w:val="left"/>
        <w:rPr>
          <w:rFonts w:hint="default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6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.宣传物料发放</w:t>
      </w:r>
    </w:p>
    <w:p w14:paraId="3ECF9155">
      <w:pPr>
        <w:snapToGrid w:val="0"/>
        <w:spacing w:line="600" w:lineRule="exact"/>
        <w:ind w:firstLine="640" w:firstLineChars="200"/>
        <w:jc w:val="left"/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现场向企业职工发放实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用宣传品和宣传资料，包括：工伤预防主题矿泉水、帆布包、抽纸、记事本、茶叶杯等；《〈工伤保险条例〉摘要》《职工工伤认定与待遇申领指南》《企业工伤预防实用手册》等宣传折页和手册，让工伤预防知识融入职工日常生产生活。</w:t>
      </w:r>
    </w:p>
    <w:p w14:paraId="54F694D2">
      <w:pPr>
        <w:rPr>
          <w:rFonts w:hint="default" w:ascii="Times New Roman" w:hAnsi="Times New Roman" w:eastAsia="黑体" w:cs="Times New Roman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黑体" w:cs="Times New Roman"/>
          <w:sz w:val="32"/>
          <w:szCs w:val="32"/>
          <w:highlight w:val="none"/>
          <w:lang w:val="en-US" w:eastAsia="zh-CN"/>
        </w:rPr>
        <w:br w:type="page"/>
      </w:r>
    </w:p>
    <w:p w14:paraId="2EE55350">
      <w:pPr>
        <w:snapToGrid w:val="0"/>
        <w:spacing w:line="600" w:lineRule="exact"/>
        <w:ind w:firstLine="640" w:firstLineChars="200"/>
        <w:jc w:val="left"/>
        <w:rPr>
          <w:rFonts w:hint="default" w:ascii="Times New Roman" w:hAnsi="Times New Roman" w:eastAsia="黑体" w:cs="Times New Roman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黑体" w:cs="Times New Roman"/>
          <w:sz w:val="32"/>
          <w:szCs w:val="32"/>
          <w:highlight w:val="none"/>
          <w:lang w:val="en-US" w:eastAsia="zh-CN"/>
        </w:rPr>
        <w:t>六、活动流程</w:t>
      </w:r>
    </w:p>
    <w:tbl>
      <w:tblPr>
        <w:tblStyle w:val="8"/>
        <w:tblW w:w="8761" w:type="dxa"/>
        <w:tblInd w:w="114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2"/>
        <w:gridCol w:w="2004"/>
        <w:gridCol w:w="5355"/>
      </w:tblGrid>
      <w:tr w14:paraId="362D3D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8" w:hRule="atLeast"/>
        </w:trPr>
        <w:tc>
          <w:tcPr>
            <w:tcW w:w="1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1ABDF" w:themeFill="accent1" w:themeFillTint="9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5DF01F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jc w:val="center"/>
              <w:textAlignment w:val="auto"/>
              <w:rPr>
                <w:rFonts w:hint="default" w:ascii="Times New Roman" w:hAnsi="Times New Roman" w:eastAsia="黑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黑体" w:cs="Times New Roman"/>
                <w:sz w:val="20"/>
                <w:szCs w:val="20"/>
              </w:rPr>
              <w:t>时间</w:t>
            </w:r>
          </w:p>
        </w:tc>
        <w:tc>
          <w:tcPr>
            <w:tcW w:w="2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1ABDF" w:themeFill="accent1" w:themeFillTint="9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C30087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jc w:val="center"/>
              <w:textAlignment w:val="auto"/>
              <w:rPr>
                <w:rFonts w:hint="default" w:ascii="Times New Roman" w:hAnsi="Times New Roman" w:eastAsia="黑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黑体" w:cs="Times New Roman"/>
                <w:sz w:val="20"/>
                <w:szCs w:val="20"/>
              </w:rPr>
              <w:t>环节</w:t>
            </w:r>
          </w:p>
        </w:tc>
        <w:tc>
          <w:tcPr>
            <w:tcW w:w="5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1ABDF" w:themeFill="accent1" w:themeFillTint="9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8FC873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jc w:val="center"/>
              <w:textAlignment w:val="auto"/>
              <w:rPr>
                <w:rFonts w:hint="default" w:ascii="Times New Roman" w:hAnsi="Times New Roman" w:eastAsia="黑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黑体" w:cs="Times New Roman"/>
                <w:sz w:val="20"/>
                <w:szCs w:val="20"/>
              </w:rPr>
              <w:t>流程内容</w:t>
            </w:r>
          </w:p>
        </w:tc>
      </w:tr>
      <w:tr w14:paraId="0422C19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44" w:hRule="atLeast"/>
        </w:trPr>
        <w:tc>
          <w:tcPr>
            <w:tcW w:w="1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E07B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0"/>
                <w:szCs w:val="20"/>
                <w:lang w:val="en-US" w:eastAsia="zh-CN"/>
              </w:rPr>
              <w:t>7</w:t>
            </w:r>
            <w:r>
              <w:rPr>
                <w:rFonts w:hint="default" w:ascii="Times New Roman" w:hAnsi="Times New Roman" w:eastAsia="仿宋_GB2312" w:cs="Times New Roman"/>
                <w:sz w:val="20"/>
                <w:szCs w:val="20"/>
              </w:rPr>
              <w:t>:30—9:30</w:t>
            </w:r>
          </w:p>
        </w:tc>
        <w:tc>
          <w:tcPr>
            <w:tcW w:w="2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9D47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仿宋_GB2312" w:cs="Times New Roman"/>
                <w:sz w:val="20"/>
                <w:szCs w:val="20"/>
              </w:rPr>
              <w:t>布场</w:t>
            </w:r>
          </w:p>
        </w:tc>
        <w:tc>
          <w:tcPr>
            <w:tcW w:w="5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82653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left"/>
              <w:textAlignment w:val="auto"/>
              <w:rPr>
                <w:rFonts w:hint="default" w:ascii="Times New Roman" w:hAnsi="Times New Roman" w:eastAsia="仿宋_GB2312" w:cs="Times New Roman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0"/>
                <w:szCs w:val="20"/>
                <w:lang w:val="en-US" w:eastAsia="zh-CN"/>
              </w:rPr>
              <w:t>1. 搭建主舞台、主题喷绘背景、活动横幅；</w:t>
            </w:r>
          </w:p>
          <w:p w14:paraId="67E19F4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left"/>
              <w:textAlignment w:val="auto"/>
              <w:rPr>
                <w:rFonts w:hint="default" w:ascii="Times New Roman" w:hAnsi="Times New Roman" w:eastAsia="仿宋_GB2312" w:cs="Times New Roman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0"/>
                <w:szCs w:val="20"/>
                <w:lang w:val="en-US" w:eastAsia="zh-CN"/>
              </w:rPr>
              <w:t>2. 搭建政策咨询点帐篷，摆放宣传资料；</w:t>
            </w:r>
          </w:p>
          <w:p w14:paraId="25E17AC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left"/>
              <w:textAlignment w:val="auto"/>
              <w:rPr>
                <w:rFonts w:hint="default" w:ascii="Times New Roman" w:hAnsi="Times New Roman" w:eastAsia="仿宋_GB2312" w:cs="Times New Roman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0"/>
                <w:szCs w:val="20"/>
                <w:lang w:val="en-US" w:eastAsia="zh-CN"/>
              </w:rPr>
              <w:t xml:space="preserve">3. </w:t>
            </w:r>
            <w:r>
              <w:rPr>
                <w:rFonts w:hint="eastAsia" w:ascii="Times New Roman" w:hAnsi="Times New Roman" w:eastAsia="仿宋_GB2312" w:cs="Times New Roman"/>
                <w:sz w:val="20"/>
                <w:szCs w:val="20"/>
                <w:lang w:val="en-US" w:eastAsia="zh-CN"/>
              </w:rPr>
              <w:t>设置</w:t>
            </w:r>
            <w:r>
              <w:rPr>
                <w:rFonts w:hint="default" w:ascii="Times New Roman" w:hAnsi="Times New Roman" w:eastAsia="仿宋_GB2312" w:cs="Times New Roman"/>
                <w:sz w:val="20"/>
                <w:szCs w:val="20"/>
                <w:lang w:val="en-US" w:eastAsia="zh-CN"/>
              </w:rPr>
              <w:t>知识问答专区，布置专题科普展板；</w:t>
            </w:r>
          </w:p>
          <w:p w14:paraId="53253ED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left"/>
              <w:textAlignment w:val="auto"/>
              <w:rPr>
                <w:rFonts w:hint="default" w:ascii="Times New Roman" w:hAnsi="Times New Roman" w:eastAsia="仿宋_GB2312" w:cs="Times New Roman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0"/>
                <w:szCs w:val="20"/>
                <w:lang w:val="en-US" w:eastAsia="zh-CN"/>
              </w:rPr>
              <w:t>4. 搭建游戏互动区及游戏设备；</w:t>
            </w:r>
          </w:p>
          <w:p w14:paraId="6717060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left"/>
              <w:textAlignment w:val="auto"/>
              <w:rPr>
                <w:rFonts w:hint="default" w:ascii="Times New Roman" w:hAnsi="Times New Roman" w:eastAsia="仿宋_GB2312" w:cs="Times New Roman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0"/>
                <w:szCs w:val="20"/>
                <w:lang w:val="en-US" w:eastAsia="zh-CN"/>
              </w:rPr>
              <w:t>5. 摆放体验设备、模拟触电仪、急救教学设备等；</w:t>
            </w:r>
          </w:p>
          <w:p w14:paraId="414741B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left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0"/>
                <w:szCs w:val="20"/>
                <w:lang w:val="en-US" w:eastAsia="zh-CN"/>
              </w:rPr>
              <w:t>6. 文艺参演人员到场彩排。</w:t>
            </w:r>
          </w:p>
        </w:tc>
      </w:tr>
      <w:tr w14:paraId="0D402F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44" w:hRule="atLeast"/>
        </w:trPr>
        <w:tc>
          <w:tcPr>
            <w:tcW w:w="1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8241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0"/>
                <w:szCs w:val="20"/>
              </w:rPr>
              <w:t>9:30—9:40</w:t>
            </w:r>
          </w:p>
        </w:tc>
        <w:tc>
          <w:tcPr>
            <w:tcW w:w="2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119B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仿宋_GB2312" w:cs="Times New Roman"/>
                <w:sz w:val="20"/>
                <w:szCs w:val="20"/>
              </w:rPr>
              <w:t>签到与开场</w:t>
            </w:r>
          </w:p>
        </w:tc>
        <w:tc>
          <w:tcPr>
            <w:tcW w:w="5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A54E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left"/>
              <w:textAlignment w:val="auto"/>
              <w:rPr>
                <w:rFonts w:hint="default" w:ascii="Times New Roman" w:hAnsi="Times New Roman" w:eastAsia="仿宋_GB2312" w:cs="Times New Roman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0"/>
                <w:szCs w:val="20"/>
                <w:lang w:val="en-US" w:eastAsia="zh-CN"/>
              </w:rPr>
              <w:t>1. 工作人员引导参与人员签到，发放宣传折页；</w:t>
            </w:r>
          </w:p>
          <w:p w14:paraId="7B9B10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left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0"/>
                <w:szCs w:val="20"/>
                <w:lang w:val="en-US" w:eastAsia="zh-CN"/>
              </w:rPr>
              <w:t>2. 主持人登场，介绍活动背景、目的、流程及文艺演出安排。</w:t>
            </w:r>
          </w:p>
        </w:tc>
      </w:tr>
      <w:tr w14:paraId="4737229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44" w:hRule="atLeast"/>
        </w:trPr>
        <w:tc>
          <w:tcPr>
            <w:tcW w:w="1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C89B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0"/>
                <w:szCs w:val="20"/>
              </w:rPr>
              <w:t>9:40—10:10</w:t>
            </w:r>
          </w:p>
        </w:tc>
        <w:tc>
          <w:tcPr>
            <w:tcW w:w="2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CF2A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0"/>
                <w:szCs w:val="20"/>
                <w:lang w:val="en-US" w:eastAsia="zh-CN"/>
              </w:rPr>
              <w:t>领导致辞、文艺表演</w:t>
            </w:r>
          </w:p>
        </w:tc>
        <w:tc>
          <w:tcPr>
            <w:tcW w:w="5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9BD7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left"/>
              <w:textAlignment w:val="auto"/>
              <w:rPr>
                <w:rFonts w:hint="default" w:ascii="Times New Roman" w:hAnsi="Times New Roman" w:eastAsia="仿宋_GB2312" w:cs="Times New Roman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0"/>
                <w:szCs w:val="20"/>
                <w:lang w:val="en-US" w:eastAsia="zh-CN"/>
              </w:rPr>
              <w:t>1. 市人社局负责同志致辞，强调工伤保险参保和工伤预防的重要性；</w:t>
            </w:r>
          </w:p>
          <w:p w14:paraId="1DA216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left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0"/>
                <w:szCs w:val="20"/>
                <w:lang w:val="en-US" w:eastAsia="zh-CN"/>
              </w:rPr>
              <w:t>2. 依次开展 5 个文艺节目展演；</w:t>
            </w:r>
          </w:p>
        </w:tc>
      </w:tr>
      <w:tr w14:paraId="3446A73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44" w:hRule="atLeast"/>
        </w:trPr>
        <w:tc>
          <w:tcPr>
            <w:tcW w:w="1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5EC3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0"/>
                <w:szCs w:val="20"/>
              </w:rPr>
              <w:t>10:10—1</w:t>
            </w:r>
            <w:r>
              <w:rPr>
                <w:rFonts w:hint="default" w:ascii="Times New Roman" w:hAnsi="Times New Roman" w:eastAsia="仿宋_GB2312" w:cs="Times New Roman"/>
                <w:sz w:val="20"/>
                <w:szCs w:val="20"/>
                <w:lang w:val="en-US" w:eastAsia="zh-CN"/>
              </w:rPr>
              <w:t>2:00</w:t>
            </w:r>
          </w:p>
        </w:tc>
        <w:tc>
          <w:tcPr>
            <w:tcW w:w="2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FB25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0"/>
                <w:szCs w:val="20"/>
              </w:rPr>
              <w:t>沉浸体验+游戏互动</w:t>
            </w:r>
            <w:r>
              <w:rPr>
                <w:rFonts w:hint="default" w:ascii="Times New Roman" w:hAnsi="Times New Roman" w:eastAsia="仿宋_GB2312" w:cs="Times New Roman"/>
                <w:sz w:val="20"/>
                <w:szCs w:val="20"/>
                <w:lang w:val="en-US" w:eastAsia="zh-CN"/>
              </w:rPr>
              <w:t>+政策咨询</w:t>
            </w:r>
          </w:p>
        </w:tc>
        <w:tc>
          <w:tcPr>
            <w:tcW w:w="5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AB194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left"/>
              <w:textAlignment w:val="auto"/>
              <w:rPr>
                <w:rFonts w:hint="default" w:ascii="Times New Roman" w:hAnsi="Times New Roman" w:eastAsia="仿宋_GB2312" w:cs="Times New Roman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0"/>
                <w:szCs w:val="20"/>
                <w:lang w:val="en-US" w:eastAsia="zh-CN"/>
              </w:rPr>
              <w:t>1.引导参与者体验模拟触电、醉酒模拟等设备；</w:t>
            </w:r>
          </w:p>
          <w:p w14:paraId="6734E4E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left"/>
              <w:textAlignment w:val="auto"/>
              <w:rPr>
                <w:rFonts w:hint="default" w:ascii="Times New Roman" w:hAnsi="Times New Roman" w:eastAsia="仿宋_GB2312" w:cs="Times New Roman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0"/>
                <w:szCs w:val="20"/>
                <w:lang w:val="en-US" w:eastAsia="zh-CN"/>
              </w:rPr>
              <w:t>2.专业人员现场教学心肺复苏、海姆立克急救法等急救技能；</w:t>
            </w:r>
          </w:p>
          <w:p w14:paraId="0DC0028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left"/>
              <w:textAlignment w:val="auto"/>
              <w:rPr>
                <w:rFonts w:hint="default" w:ascii="Times New Roman" w:hAnsi="Times New Roman" w:eastAsia="仿宋_GB2312" w:cs="Times New Roman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0"/>
                <w:szCs w:val="20"/>
                <w:lang w:val="en-US" w:eastAsia="zh-CN"/>
              </w:rPr>
              <w:t>3.工作人员引导</w:t>
            </w:r>
            <w:r>
              <w:rPr>
                <w:rFonts w:hint="eastAsia" w:ascii="Times New Roman" w:hAnsi="Times New Roman" w:eastAsia="仿宋_GB2312" w:cs="Times New Roman"/>
                <w:sz w:val="20"/>
                <w:szCs w:val="20"/>
                <w:lang w:val="en-US" w:eastAsia="zh-CN"/>
              </w:rPr>
              <w:t>去找你红</w:t>
            </w:r>
            <w:r>
              <w:rPr>
                <w:rFonts w:hint="default" w:ascii="Times New Roman" w:hAnsi="Times New Roman" w:eastAsia="仿宋_GB2312" w:cs="Times New Roman"/>
                <w:sz w:val="20"/>
                <w:szCs w:val="20"/>
                <w:lang w:val="en-US" w:eastAsia="zh-CN"/>
              </w:rPr>
              <w:t>参与互动游戏，赢取宣传礼品。</w:t>
            </w:r>
          </w:p>
          <w:p w14:paraId="31AF7BF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left"/>
              <w:textAlignment w:val="auto"/>
              <w:rPr>
                <w:rFonts w:hint="default" w:ascii="Times New Roman" w:hAnsi="Times New Roman" w:eastAsia="仿宋_GB2312" w:cs="Times New Roman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0"/>
                <w:szCs w:val="20"/>
                <w:lang w:val="en-US" w:eastAsia="zh-CN"/>
              </w:rPr>
              <w:t>4.社保中心业务骨干现场解答政策疑问，登记咨询问题</w:t>
            </w:r>
          </w:p>
          <w:p w14:paraId="08DE1FD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left"/>
              <w:textAlignment w:val="auto"/>
              <w:rPr>
                <w:rFonts w:hint="default" w:ascii="Times New Roman" w:hAnsi="Times New Roman" w:eastAsia="仿宋_GB2312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0"/>
                <w:szCs w:val="20"/>
                <w:lang w:val="en-US" w:eastAsia="zh-CN"/>
              </w:rPr>
              <w:t>5.</w:t>
            </w:r>
            <w:r>
              <w:rPr>
                <w:rFonts w:hint="default" w:ascii="Times New Roman" w:hAnsi="Times New Roman" w:eastAsia="仿宋_GB2312" w:cs="Times New Roman"/>
                <w:sz w:val="20"/>
                <w:szCs w:val="20"/>
                <w:lang w:val="en-US" w:eastAsia="zh-CN"/>
              </w:rPr>
              <w:t>问答区工作人员常态化开展现场有奖答题，派发礼品；</w:t>
            </w:r>
          </w:p>
        </w:tc>
      </w:tr>
      <w:tr w14:paraId="4521ACE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44" w:hRule="atLeast"/>
        </w:trPr>
        <w:tc>
          <w:tcPr>
            <w:tcW w:w="1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A040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0"/>
                <w:szCs w:val="20"/>
              </w:rPr>
              <w:t>12:00—</w:t>
            </w:r>
          </w:p>
        </w:tc>
        <w:tc>
          <w:tcPr>
            <w:tcW w:w="2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4C4C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仿宋_GB2312" w:cs="Times New Roman"/>
                <w:sz w:val="20"/>
                <w:szCs w:val="20"/>
              </w:rPr>
              <w:t>收场</w:t>
            </w:r>
          </w:p>
        </w:tc>
        <w:tc>
          <w:tcPr>
            <w:tcW w:w="5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B6D0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left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0"/>
                <w:szCs w:val="20"/>
              </w:rPr>
              <w:t>活动结束后，工作人员整理活动物资，清扫活动现场。</w:t>
            </w:r>
          </w:p>
        </w:tc>
      </w:tr>
    </w:tbl>
    <w:p w14:paraId="2D65C11C">
      <w:pPr>
        <w:snapToGrid w:val="0"/>
        <w:spacing w:line="600" w:lineRule="exact"/>
        <w:ind w:firstLine="560" w:firstLineChars="200"/>
        <w:jc w:val="left"/>
        <w:rPr>
          <w:rFonts w:hint="default" w:ascii="Times New Roman" w:hAnsi="Times New Roman" w:eastAsia="楷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Times New Roman"/>
          <w:sz w:val="28"/>
          <w:szCs w:val="28"/>
          <w:lang w:val="en-US" w:eastAsia="zh-CN"/>
        </w:rPr>
        <w:t>（具体流程以现场执行为准）</w:t>
      </w:r>
    </w:p>
    <w:p w14:paraId="6DDB4344">
      <w:pPr>
        <w:rPr>
          <w:rFonts w:hint="default" w:ascii="Times New Roman" w:hAnsi="Times New Roman" w:eastAsia="黑体" w:cs="Times New Roman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黑体" w:cs="Times New Roman"/>
          <w:sz w:val="32"/>
          <w:szCs w:val="32"/>
          <w:highlight w:val="none"/>
          <w:lang w:val="en-US" w:eastAsia="zh-CN"/>
        </w:rPr>
        <w:br w:type="page"/>
      </w:r>
    </w:p>
    <w:p w14:paraId="2B9AE6A2">
      <w:pPr>
        <w:snapToGrid w:val="0"/>
        <w:spacing w:line="600" w:lineRule="exact"/>
        <w:ind w:firstLine="640" w:firstLineChars="200"/>
        <w:jc w:val="left"/>
        <w:rPr>
          <w:rFonts w:hint="default" w:ascii="Times New Roman" w:hAnsi="Times New Roman" w:eastAsia="黑体" w:cs="Times New Roman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黑体" w:cs="Times New Roman"/>
          <w:sz w:val="32"/>
          <w:szCs w:val="32"/>
          <w:highlight w:val="none"/>
          <w:lang w:val="en-US" w:eastAsia="zh-CN"/>
        </w:rPr>
        <w:t>七、现场宣传物料</w:t>
      </w:r>
    </w:p>
    <w:tbl>
      <w:tblPr>
        <w:tblStyle w:val="9"/>
        <w:tblW w:w="828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0"/>
        <w:gridCol w:w="4641"/>
        <w:gridCol w:w="2576"/>
      </w:tblGrid>
      <w:tr w14:paraId="10664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70" w:type="dxa"/>
            <w:shd w:val="clear" w:color="auto" w:fill="91ABDF" w:themeFill="accent1" w:themeFillTint="99"/>
            <w:vAlign w:val="center"/>
          </w:tcPr>
          <w:p w14:paraId="01FD0B97"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tLeast"/>
              <w:jc w:val="center"/>
              <w:textAlignment w:val="auto"/>
              <w:rPr>
                <w:rFonts w:hint="default" w:ascii="Times New Roman" w:hAnsi="Times New Roman" w:eastAsia="仿宋_GB2312" w:cs="Times New Roman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sz w:val="20"/>
                <w:szCs w:val="20"/>
                <w:vertAlign w:val="baseline"/>
                <w:lang w:val="en-US" w:eastAsia="zh-CN"/>
              </w:rPr>
              <w:t>序号</w:t>
            </w:r>
          </w:p>
        </w:tc>
        <w:tc>
          <w:tcPr>
            <w:tcW w:w="4641" w:type="dxa"/>
            <w:shd w:val="clear" w:color="auto" w:fill="91ABDF" w:themeFill="accent1" w:themeFillTint="99"/>
            <w:vAlign w:val="center"/>
          </w:tcPr>
          <w:p w14:paraId="52049F79"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tLeast"/>
              <w:jc w:val="center"/>
              <w:textAlignment w:val="auto"/>
              <w:rPr>
                <w:rFonts w:hint="default" w:ascii="Times New Roman" w:hAnsi="Times New Roman" w:eastAsia="仿宋_GB2312" w:cs="Times New Roman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sz w:val="20"/>
                <w:szCs w:val="20"/>
                <w:vertAlign w:val="baseline"/>
                <w:lang w:val="en-US" w:eastAsia="zh-CN"/>
              </w:rPr>
              <w:t>内容</w:t>
            </w:r>
          </w:p>
        </w:tc>
        <w:tc>
          <w:tcPr>
            <w:tcW w:w="2576" w:type="dxa"/>
            <w:shd w:val="clear" w:color="auto" w:fill="91ABDF" w:themeFill="accent1" w:themeFillTint="99"/>
            <w:vAlign w:val="center"/>
          </w:tcPr>
          <w:p w14:paraId="4585F23B"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tLeast"/>
              <w:jc w:val="center"/>
              <w:textAlignment w:val="auto"/>
              <w:rPr>
                <w:rFonts w:hint="default" w:ascii="Times New Roman" w:hAnsi="Times New Roman" w:eastAsia="仿宋_GB2312" w:cs="Times New Roman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sz w:val="20"/>
                <w:szCs w:val="20"/>
                <w:vertAlign w:val="baseline"/>
                <w:lang w:val="en-US" w:eastAsia="zh-CN"/>
              </w:rPr>
              <w:t>数量/每场</w:t>
            </w:r>
          </w:p>
        </w:tc>
      </w:tr>
      <w:tr w14:paraId="5A292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70" w:type="dxa"/>
            <w:vAlign w:val="center"/>
          </w:tcPr>
          <w:p w14:paraId="52161CD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4641" w:type="dxa"/>
            <w:vAlign w:val="center"/>
          </w:tcPr>
          <w:p w14:paraId="798A75B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lang w:val="en-US" w:eastAsia="zh-CN" w:bidi="ar"/>
              </w:rPr>
              <w:t>主题喷绘背景墙</w:t>
            </w:r>
          </w:p>
        </w:tc>
        <w:tc>
          <w:tcPr>
            <w:tcW w:w="2576" w:type="dxa"/>
            <w:vAlign w:val="center"/>
          </w:tcPr>
          <w:p w14:paraId="689E45B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lang w:val="en-US" w:eastAsia="zh-CN" w:bidi="ar"/>
              </w:rPr>
              <w:t>1套</w:t>
            </w:r>
          </w:p>
        </w:tc>
      </w:tr>
      <w:tr w14:paraId="72A41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70" w:type="dxa"/>
            <w:vAlign w:val="center"/>
          </w:tcPr>
          <w:p w14:paraId="00DD3C0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4641" w:type="dxa"/>
            <w:vAlign w:val="center"/>
          </w:tcPr>
          <w:p w14:paraId="711FEBA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lang w:val="en-US" w:eastAsia="zh-CN" w:bidi="ar"/>
              </w:rPr>
              <w:t>政策宣传展板（小桁架，含案例展板）</w:t>
            </w:r>
          </w:p>
        </w:tc>
        <w:tc>
          <w:tcPr>
            <w:tcW w:w="2576" w:type="dxa"/>
            <w:vAlign w:val="center"/>
          </w:tcPr>
          <w:p w14:paraId="24D57CD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lang w:val="en-US" w:eastAsia="zh-CN" w:bidi="ar"/>
              </w:rPr>
              <w:t>6个</w:t>
            </w:r>
          </w:p>
        </w:tc>
      </w:tr>
      <w:tr w14:paraId="340A3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70" w:type="dxa"/>
            <w:vAlign w:val="center"/>
          </w:tcPr>
          <w:p w14:paraId="227B83A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4641" w:type="dxa"/>
            <w:vAlign w:val="center"/>
          </w:tcPr>
          <w:p w14:paraId="5886006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lang w:val="en-US" w:eastAsia="zh-CN" w:bidi="ar"/>
              </w:rPr>
              <w:t>主题活动横幅</w:t>
            </w:r>
          </w:p>
        </w:tc>
        <w:tc>
          <w:tcPr>
            <w:tcW w:w="2576" w:type="dxa"/>
            <w:vAlign w:val="center"/>
          </w:tcPr>
          <w:p w14:paraId="56DA954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lang w:val="en-US" w:eastAsia="zh-CN" w:bidi="ar"/>
              </w:rPr>
              <w:t>2幅</w:t>
            </w:r>
          </w:p>
        </w:tc>
      </w:tr>
      <w:tr w14:paraId="28CBC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70" w:type="dxa"/>
            <w:vAlign w:val="center"/>
          </w:tcPr>
          <w:p w14:paraId="20AC195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lang w:val="en-US" w:eastAsia="zh-CN" w:bidi="ar"/>
              </w:rPr>
              <w:t>4</w:t>
            </w:r>
          </w:p>
        </w:tc>
        <w:tc>
          <w:tcPr>
            <w:tcW w:w="4641" w:type="dxa"/>
            <w:vAlign w:val="center"/>
          </w:tcPr>
          <w:p w14:paraId="34E0C81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lang w:val="en-US" w:eastAsia="zh-CN" w:bidi="ar"/>
              </w:rPr>
              <w:t>指引牌、签到台等展架</w:t>
            </w:r>
          </w:p>
        </w:tc>
        <w:tc>
          <w:tcPr>
            <w:tcW w:w="2576" w:type="dxa"/>
            <w:vAlign w:val="center"/>
          </w:tcPr>
          <w:p w14:paraId="592638B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lang w:val="en-US" w:eastAsia="zh-CN" w:bidi="ar"/>
              </w:rPr>
              <w:t>1套</w:t>
            </w:r>
          </w:p>
        </w:tc>
      </w:tr>
      <w:tr w14:paraId="5E8D1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70" w:type="dxa"/>
            <w:vAlign w:val="center"/>
          </w:tcPr>
          <w:p w14:paraId="01BEA4F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lang w:val="en-US" w:eastAsia="zh-CN" w:bidi="ar"/>
              </w:rPr>
              <w:t>5</w:t>
            </w:r>
          </w:p>
        </w:tc>
        <w:tc>
          <w:tcPr>
            <w:tcW w:w="4641" w:type="dxa"/>
            <w:vAlign w:val="center"/>
          </w:tcPr>
          <w:p w14:paraId="176340D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lang w:val="en-US" w:eastAsia="zh-CN" w:bidi="ar"/>
              </w:rPr>
              <w:t>“隐患来找茬”翻翻乐物料</w:t>
            </w:r>
          </w:p>
        </w:tc>
        <w:tc>
          <w:tcPr>
            <w:tcW w:w="2576" w:type="dxa"/>
            <w:vAlign w:val="center"/>
          </w:tcPr>
          <w:p w14:paraId="4B1CB0B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lang w:val="en-US" w:eastAsia="zh-CN" w:bidi="ar"/>
              </w:rPr>
              <w:t>各1套</w:t>
            </w:r>
          </w:p>
        </w:tc>
      </w:tr>
      <w:tr w14:paraId="4E48D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70" w:type="dxa"/>
            <w:vAlign w:val="center"/>
          </w:tcPr>
          <w:p w14:paraId="12FA142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lang w:val="en-US" w:eastAsia="zh-CN" w:bidi="ar"/>
              </w:rPr>
              <w:t>6</w:t>
            </w:r>
          </w:p>
        </w:tc>
        <w:tc>
          <w:tcPr>
            <w:tcW w:w="4641" w:type="dxa"/>
            <w:vAlign w:val="center"/>
          </w:tcPr>
          <w:p w14:paraId="0885981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lang w:val="en-US" w:eastAsia="zh-CN" w:bidi="ar"/>
              </w:rPr>
              <w:t>宣传三折页（3—4种）</w:t>
            </w:r>
          </w:p>
        </w:tc>
        <w:tc>
          <w:tcPr>
            <w:tcW w:w="2576" w:type="dxa"/>
            <w:vAlign w:val="center"/>
          </w:tcPr>
          <w:p w14:paraId="6704C1C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lang w:val="en-US" w:eastAsia="zh-CN" w:bidi="ar"/>
              </w:rPr>
              <w:t>各500份</w:t>
            </w:r>
          </w:p>
        </w:tc>
      </w:tr>
      <w:tr w14:paraId="749B7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70" w:type="dxa"/>
            <w:vAlign w:val="center"/>
          </w:tcPr>
          <w:p w14:paraId="76409BE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lang w:val="en-US" w:eastAsia="zh-CN" w:bidi="ar"/>
              </w:rPr>
              <w:t>7</w:t>
            </w:r>
          </w:p>
        </w:tc>
        <w:tc>
          <w:tcPr>
            <w:tcW w:w="4641" w:type="dxa"/>
            <w:vAlign w:val="center"/>
          </w:tcPr>
          <w:p w14:paraId="618E6EA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lang w:val="en-US" w:eastAsia="zh-CN" w:bidi="ar"/>
              </w:rPr>
              <w:t>模拟触电体验仪</w:t>
            </w:r>
          </w:p>
        </w:tc>
        <w:tc>
          <w:tcPr>
            <w:tcW w:w="2576" w:type="dxa"/>
            <w:vAlign w:val="center"/>
          </w:tcPr>
          <w:p w14:paraId="5589043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lang w:val="en-US" w:eastAsia="zh-CN" w:bidi="ar"/>
              </w:rPr>
              <w:t>1套</w:t>
            </w:r>
          </w:p>
        </w:tc>
      </w:tr>
      <w:tr w14:paraId="6A026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70" w:type="dxa"/>
            <w:vAlign w:val="center"/>
          </w:tcPr>
          <w:p w14:paraId="13C601A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lang w:val="en-US" w:eastAsia="zh-CN" w:bidi="ar"/>
              </w:rPr>
              <w:t>8</w:t>
            </w:r>
          </w:p>
        </w:tc>
        <w:tc>
          <w:tcPr>
            <w:tcW w:w="4641" w:type="dxa"/>
            <w:shd w:val="clear" w:color="auto" w:fill="auto"/>
            <w:vAlign w:val="center"/>
          </w:tcPr>
          <w:p w14:paraId="041A95A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lang w:val="en-US" w:eastAsia="zh-CN" w:bidi="ar"/>
              </w:rPr>
              <w:t>醉酒模拟体验眼镜及配套设备</w:t>
            </w:r>
          </w:p>
        </w:tc>
        <w:tc>
          <w:tcPr>
            <w:tcW w:w="2576" w:type="dxa"/>
            <w:vAlign w:val="center"/>
          </w:tcPr>
          <w:p w14:paraId="7DF46B8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lang w:val="en-US" w:eastAsia="zh-CN" w:bidi="ar"/>
              </w:rPr>
              <w:t>2套</w:t>
            </w:r>
          </w:p>
        </w:tc>
      </w:tr>
      <w:tr w14:paraId="09E0B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70" w:type="dxa"/>
            <w:vAlign w:val="center"/>
          </w:tcPr>
          <w:p w14:paraId="1F4006C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lang w:val="en-US" w:eastAsia="zh-CN" w:bidi="ar"/>
              </w:rPr>
              <w:t>9</w:t>
            </w:r>
          </w:p>
        </w:tc>
        <w:tc>
          <w:tcPr>
            <w:tcW w:w="4641" w:type="dxa"/>
            <w:shd w:val="clear" w:color="auto" w:fill="auto"/>
            <w:vAlign w:val="center"/>
          </w:tcPr>
          <w:p w14:paraId="7FE8376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lang w:val="en-US" w:eastAsia="zh-CN" w:bidi="ar"/>
              </w:rPr>
              <w:t>应急救护教学设备（模拟人、绷带等）</w:t>
            </w:r>
          </w:p>
        </w:tc>
        <w:tc>
          <w:tcPr>
            <w:tcW w:w="2576" w:type="dxa"/>
            <w:vAlign w:val="center"/>
          </w:tcPr>
          <w:p w14:paraId="05FD185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lang w:val="en-US" w:eastAsia="zh-CN" w:bidi="ar"/>
              </w:rPr>
              <w:t>2套</w:t>
            </w:r>
          </w:p>
        </w:tc>
      </w:tr>
      <w:tr w14:paraId="3D92D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70" w:type="dxa"/>
            <w:vAlign w:val="center"/>
          </w:tcPr>
          <w:p w14:paraId="2C8749C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lang w:val="en-US" w:eastAsia="zh-CN" w:bidi="ar"/>
              </w:rPr>
              <w:t>10</w:t>
            </w:r>
          </w:p>
        </w:tc>
        <w:tc>
          <w:tcPr>
            <w:tcW w:w="4641" w:type="dxa"/>
            <w:shd w:val="clear" w:color="auto" w:fill="auto"/>
            <w:vAlign w:val="center"/>
          </w:tcPr>
          <w:p w14:paraId="58DA678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lang w:val="en-US" w:eastAsia="zh-CN" w:bidi="ar"/>
              </w:rPr>
              <w:t>便携式音响（配话筒）</w:t>
            </w:r>
          </w:p>
        </w:tc>
        <w:tc>
          <w:tcPr>
            <w:tcW w:w="2576" w:type="dxa"/>
            <w:vAlign w:val="center"/>
          </w:tcPr>
          <w:p w14:paraId="1B07187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lang w:val="en-US" w:eastAsia="zh-CN" w:bidi="ar"/>
              </w:rPr>
              <w:t>1套</w:t>
            </w:r>
          </w:p>
        </w:tc>
      </w:tr>
      <w:tr w14:paraId="7E03F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70" w:type="dxa"/>
            <w:vAlign w:val="center"/>
          </w:tcPr>
          <w:p w14:paraId="0A95CE9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lang w:val="en-US" w:eastAsia="zh-CN" w:bidi="ar"/>
              </w:rPr>
              <w:t>11</w:t>
            </w:r>
          </w:p>
        </w:tc>
        <w:tc>
          <w:tcPr>
            <w:tcW w:w="4641" w:type="dxa"/>
            <w:shd w:val="clear" w:color="auto" w:fill="auto"/>
            <w:vAlign w:val="center"/>
          </w:tcPr>
          <w:p w14:paraId="5AC515F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lang w:val="en-US" w:eastAsia="zh-CN" w:bidi="ar"/>
              </w:rPr>
              <w:t>工伤预防主题宣传品（矿泉水、帆布包、抽纸、记事本、茶叶杯等）</w:t>
            </w:r>
          </w:p>
        </w:tc>
        <w:tc>
          <w:tcPr>
            <w:tcW w:w="2576" w:type="dxa"/>
            <w:vAlign w:val="center"/>
          </w:tcPr>
          <w:p w14:paraId="6972912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lang w:val="en-US" w:eastAsia="zh-CN" w:bidi="ar"/>
              </w:rPr>
              <w:t>若干份</w:t>
            </w:r>
          </w:p>
        </w:tc>
      </w:tr>
      <w:tr w14:paraId="63F5E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70" w:type="dxa"/>
            <w:vAlign w:val="center"/>
          </w:tcPr>
          <w:p w14:paraId="54B5237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lang w:val="en-US" w:eastAsia="zh-CN" w:bidi="ar"/>
              </w:rPr>
              <w:t>12</w:t>
            </w:r>
          </w:p>
        </w:tc>
        <w:tc>
          <w:tcPr>
            <w:tcW w:w="4641" w:type="dxa"/>
            <w:shd w:val="clear" w:color="auto" w:fill="auto"/>
            <w:vAlign w:val="center"/>
          </w:tcPr>
          <w:p w14:paraId="23D5C1E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lang w:val="en-US" w:eastAsia="zh-CN" w:bidi="ar"/>
              </w:rPr>
              <w:t>帐篷（2m×2m）</w:t>
            </w:r>
          </w:p>
        </w:tc>
        <w:tc>
          <w:tcPr>
            <w:tcW w:w="2576" w:type="dxa"/>
            <w:vAlign w:val="center"/>
          </w:tcPr>
          <w:p w14:paraId="509E159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lang w:val="en-US" w:eastAsia="zh-CN" w:bidi="ar"/>
              </w:rPr>
              <w:t>4顶</w:t>
            </w:r>
          </w:p>
        </w:tc>
      </w:tr>
      <w:tr w14:paraId="3787C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70" w:type="dxa"/>
            <w:vAlign w:val="center"/>
          </w:tcPr>
          <w:p w14:paraId="5D0D7E2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lang w:val="en-US" w:eastAsia="zh-CN" w:bidi="ar"/>
              </w:rPr>
              <w:t>13</w:t>
            </w:r>
          </w:p>
        </w:tc>
        <w:tc>
          <w:tcPr>
            <w:tcW w:w="4641" w:type="dxa"/>
            <w:shd w:val="clear" w:color="auto" w:fill="auto"/>
            <w:vAlign w:val="center"/>
          </w:tcPr>
          <w:p w14:paraId="22AF0D0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lang w:val="en-US" w:eastAsia="zh-CN" w:bidi="ar"/>
              </w:rPr>
              <w:t>工伤预防知识问答专题展板</w:t>
            </w:r>
          </w:p>
        </w:tc>
        <w:tc>
          <w:tcPr>
            <w:tcW w:w="2576" w:type="dxa"/>
            <w:vAlign w:val="center"/>
          </w:tcPr>
          <w:p w14:paraId="5DEBB49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lang w:val="en-US" w:eastAsia="zh-CN" w:bidi="ar"/>
              </w:rPr>
              <w:t>4块</w:t>
            </w:r>
          </w:p>
        </w:tc>
      </w:tr>
      <w:tr w14:paraId="0025D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70" w:type="dxa"/>
            <w:vAlign w:val="center"/>
          </w:tcPr>
          <w:p w14:paraId="6D62F54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lang w:val="en-US" w:eastAsia="zh-CN" w:bidi="ar"/>
              </w:rPr>
              <w:t>14</w:t>
            </w:r>
          </w:p>
        </w:tc>
        <w:tc>
          <w:tcPr>
            <w:tcW w:w="4641" w:type="dxa"/>
            <w:shd w:val="clear" w:color="auto" w:fill="auto"/>
            <w:vAlign w:val="center"/>
          </w:tcPr>
          <w:p w14:paraId="7BAD5E2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lang w:val="en-US" w:eastAsia="zh-CN" w:bidi="ar"/>
              </w:rPr>
              <w:t>活动专业舞台搭建配套物料</w:t>
            </w:r>
          </w:p>
        </w:tc>
        <w:tc>
          <w:tcPr>
            <w:tcW w:w="2576" w:type="dxa"/>
            <w:vAlign w:val="center"/>
          </w:tcPr>
          <w:p w14:paraId="22E66A3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lang w:val="en-US" w:eastAsia="zh-CN" w:bidi="ar"/>
              </w:rPr>
              <w:t>1套</w:t>
            </w:r>
          </w:p>
        </w:tc>
      </w:tr>
    </w:tbl>
    <w:p w14:paraId="7D78DB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jc w:val="left"/>
        <w:textAlignment w:val="auto"/>
        <w:rPr>
          <w:rFonts w:hint="default" w:ascii="Times New Roman" w:hAnsi="Times New Roman" w:eastAsia="黑体" w:cs="Times New Roman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黑体" w:cs="Times New Roman"/>
          <w:sz w:val="32"/>
          <w:szCs w:val="32"/>
          <w:highlight w:val="none"/>
          <w:lang w:val="en-US" w:eastAsia="zh-CN"/>
        </w:rPr>
        <w:t>八、媒体报道</w:t>
      </w:r>
    </w:p>
    <w:p w14:paraId="232EAB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jc w:val="left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活动期间撰写新闻通稿，协调攀枝花日报、攀枝花广播电视台等本地媒体进行宣传报道；同步在“攀枝花人社”微信公众号发布活动花絮视频和推文，扩大宣传覆盖面。</w:t>
      </w:r>
    </w:p>
    <w:p w14:paraId="587F4D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jc w:val="left"/>
        <w:textAlignment w:val="auto"/>
        <w:rPr>
          <w:rFonts w:hint="default" w:ascii="Times New Roman" w:hAnsi="Times New Roman" w:eastAsia="黑体" w:cs="Times New Roman"/>
          <w:sz w:val="32"/>
          <w:szCs w:val="32"/>
          <w:highlight w:val="none"/>
          <w:lang w:eastAsia="zh-CN"/>
          <w:woUserID w:val="1"/>
        </w:rPr>
      </w:pPr>
      <w:r>
        <w:rPr>
          <w:rFonts w:hint="default" w:ascii="Times New Roman" w:hAnsi="Times New Roman" w:eastAsia="黑体" w:cs="Times New Roman"/>
          <w:sz w:val="32"/>
          <w:szCs w:val="32"/>
          <w:highlight w:val="none"/>
          <w:lang w:val="en-US" w:eastAsia="zh-CN"/>
        </w:rPr>
        <w:t>九、活动应急处置方案</w:t>
      </w:r>
    </w:p>
    <w:p w14:paraId="2C3B54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jc w:val="left"/>
        <w:textAlignment w:val="auto"/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  <w:t>（一）事故处置程序</w:t>
      </w:r>
    </w:p>
    <w:p w14:paraId="2C9026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jc w:val="left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应急小组启动本预案，按照应急预案的指令开展工作。根据职责分工，迅速开展工作。应急小组成员立即进行情况汇总、分析判断，并作出决策组织疏散、救护。</w:t>
      </w:r>
    </w:p>
    <w:p w14:paraId="5F2259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jc w:val="left"/>
        <w:textAlignment w:val="auto"/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  <w:t>（二）火灾事件处置</w:t>
      </w:r>
    </w:p>
    <w:p w14:paraId="2FE082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jc w:val="left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发现火灾时，应立即报119火警，报警人员在报警时应同时说清着火地点、部位、燃烧物品、火灾情况等。通知相关负责人，同时做好灭火前的必要准备工作，及时记录火灾情况。</w:t>
      </w:r>
    </w:p>
    <w:p w14:paraId="2AC156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jc w:val="left"/>
        <w:textAlignment w:val="auto"/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  <w:t>（三）斗殴事件处置</w:t>
      </w:r>
    </w:p>
    <w:p w14:paraId="6EB4DD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jc w:val="left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在活动中发生争吵、斗殴事件时，要用文明礼仪进行劝阻。劝阻时不宜将个人观点参与当事人之间的是非中，同时注意自身安全。</w:t>
      </w:r>
    </w:p>
    <w:p w14:paraId="433527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jc w:val="left"/>
        <w:textAlignment w:val="auto"/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  <w:t>（四）盗窃事件处置</w:t>
      </w:r>
    </w:p>
    <w:p w14:paraId="38F4C1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jc w:val="left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发现刑事（治安）案件时，应立即向上级报告，同时拨打110。发现偷盗或抢劫事件时，首先通知其他工作人员前来协助；及时向上级报告，同时拨打110电话，向警察机关求助。</w:t>
      </w:r>
    </w:p>
    <w:p w14:paraId="7FCEEB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jc w:val="left"/>
        <w:textAlignment w:val="auto"/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  <w:t>（五）拥挤、踩踏事故处置</w:t>
      </w:r>
    </w:p>
    <w:p w14:paraId="545690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jc w:val="left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宣传活动现场发现人员突然增多拥挤，应马上控制现场，组织群众有序离场。组织设备体验活动时需根据现场人员情况进行导流，控制同时参与体验活动的人数，防止拥挤、踩踏事故发生。</w:t>
      </w:r>
    </w:p>
    <w:p w14:paraId="11BDA5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jc w:val="left"/>
        <w:textAlignment w:val="auto"/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  <w:t>（六）突发疾病处置</w:t>
      </w:r>
    </w:p>
    <w:p w14:paraId="4AFD3E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jc w:val="left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发现突发疾病事故，应立即向上级报告，同时拨打120急救电话并联系其家人；判断病情，立即联系附近卫生站、诊所医生求助做急救处置；接应救护车，指引救护人员及时对伤员进行处理或送医院进行救治。</w:t>
      </w:r>
    </w:p>
    <w:p w14:paraId="6C1F520A">
      <w:pPr>
        <w:rPr>
          <w:rFonts w:hint="default" w:ascii="Times New Roman" w:hAnsi="Times New Roman" w:cs="Times New Roman"/>
        </w:rPr>
      </w:pPr>
    </w:p>
    <w:sectPr>
      <w:footerReference r:id="rId3" w:type="default"/>
      <w:pgSz w:w="11906" w:h="16838"/>
      <w:pgMar w:top="2098" w:right="1474" w:bottom="1984" w:left="158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0"/>
    <w:family w:val="moder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WZT-EN">
    <w:altName w:val="DejaVu Math TeX Gyre"/>
    <w:panose1 w:val="02020400000000000000"/>
    <w:charset w:val="00"/>
    <w:family w:val="auto"/>
    <w:pitch w:val="default"/>
    <w:sig w:usb0="00000000" w:usb1="00000000" w:usb2="00082016" w:usb3="00000000" w:csb0="00000003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82B37A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64A29A0">
                          <w:pPr>
                            <w:pStyle w:val="5"/>
                            <w:rPr>
                              <w:rFonts w:hint="default" w:ascii="Times New Roman" w:hAnsi="Times New Roman" w:cs="Times New Roman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32"/>
                              <w:szCs w:val="32"/>
                            </w:rPr>
                            <w:t xml:space="preserve">— 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32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32"/>
                              <w:szCs w:val="32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32"/>
                              <w:szCs w:val="32"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32"/>
                              <w:szCs w:val="32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64A29A0">
                    <w:pPr>
                      <w:pStyle w:val="5"/>
                      <w:rPr>
                        <w:rFonts w:hint="default" w:ascii="Times New Roman" w:hAnsi="Times New Roman" w:cs="Times New Roman"/>
                        <w:sz w:val="32"/>
                        <w:szCs w:val="3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32"/>
                        <w:szCs w:val="32"/>
                      </w:rPr>
                      <w:t xml:space="preserve">— </w:t>
                    </w:r>
                    <w:r>
                      <w:rPr>
                        <w:rFonts w:hint="default" w:ascii="Times New Roman" w:hAnsi="Times New Roman" w:cs="Times New Roman"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sz w:val="32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sz w:val="32"/>
                        <w:szCs w:val="32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sz w:val="32"/>
                        <w:szCs w:val="32"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  <w:sz w:val="32"/>
                        <w:szCs w:val="32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B80266"/>
    <w:rsid w:val="14C265D3"/>
    <w:rsid w:val="1FEE1D9C"/>
    <w:rsid w:val="2EB351C5"/>
    <w:rsid w:val="3EB80266"/>
    <w:rsid w:val="3FDFC218"/>
    <w:rsid w:val="4E131CFD"/>
    <w:rsid w:val="57FA3787"/>
    <w:rsid w:val="607A2D6C"/>
    <w:rsid w:val="7D2FD0AE"/>
    <w:rsid w:val="A7F74052"/>
    <w:rsid w:val="AEDFA512"/>
    <w:rsid w:val="BBF6ED55"/>
    <w:rsid w:val="DF5BA676"/>
    <w:rsid w:val="F7FF5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"/>
    <w:basedOn w:val="3"/>
    <w:qFormat/>
    <w:uiPriority w:val="0"/>
    <w:pPr>
      <w:ind w:firstLine="420" w:firstLineChars="100"/>
    </w:pPr>
    <w:rPr>
      <w:rFonts w:ascii="GWZT-EN"/>
    </w:rPr>
  </w:style>
  <w:style w:type="paragraph" w:styleId="3">
    <w:name w:val="Body Text"/>
    <w:basedOn w:val="1"/>
    <w:next w:val="1"/>
    <w:qFormat/>
    <w:uiPriority w:val="0"/>
    <w:pPr>
      <w:spacing w:after="120"/>
    </w:p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qFormat/>
    <w:uiPriority w:val="0"/>
    <w:pPr>
      <w:spacing w:beforeAutospacing="1" w:afterAutospacing="1"/>
      <w:jc w:val="left"/>
    </w:pPr>
    <w:rPr>
      <w:kern w:val="0"/>
      <w:sz w:val="24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ntractReview xmlns="http://schemas.wps.cn/vas-ai-hub/contract-review">
  <reviewItems>
    <reviewItem>
      <errorID>a56b2874-c2ea-4725-9214-7d8a962e4e14</errorID>
      <errorWord>宣传日</errorWord>
      <group>L1_Word</group>
      <groupName>字词问题</groupName>
      <ability>L2_Typo</ability>
      <abilityName>字词错误</abilityName>
      <candidateList>
        <item>宣传月</item>
      </candidateList>
      <explain/>
      <paraID>5600E82D</paraID>
      <start>23</start>
      <end>26</end>
      <status>unmodified</status>
      <modifiedWord/>
      <trackRevisions>false</trackRevisions>
    </reviewItem>
    <reviewItem>
      <errorID>49501e77-d741-45a9-aa54-2b90e04ac3c8</errorID>
      <errorWord>工作实际，制定本</errorWord>
      <group>L1_Word</group>
      <groupName>字词问题</groupName>
      <ability>L2_Typo</ability>
      <abilityName>字词错误</abilityName>
      <candidateList>
        <item>工作实际，制定</item>
      </candidateList>
      <explain/>
      <paraID>32356410</paraID>
      <start>68</start>
      <end>76</end>
      <status>unmodified</status>
      <modifiedWord/>
      <trackRevisions>false</trackRevisions>
    </reviewItem>
    <reviewItem>
      <errorID>0ee54de1-e615-48a1-a8a3-798a129b6e4c</errorID>
      <errorWord> </errorWord>
      <group>L1_Punc</group>
      <groupName>标点问题</groupName>
      <ability>L2_Punc_CN</ability>
      <abilityName>标点符号问题</abilityName>
      <candidateList>
        <item>，</item>
      </candidateList>
      <explain/>
      <paraID>10606CB4</paraID>
      <start>12</start>
      <end>13</end>
      <status>modified</status>
      <modifiedWord>，</modifiedWord>
      <trackRevisions>false</trackRevisions>
    </reviewItem>
    <reviewItem>
      <errorID>4c594f04-45b6-48ae-994f-0724feebd383</errorID>
      <errorWord>宣传日</errorWord>
      <group>L1_Word</group>
      <groupName>字词问题</groupName>
      <ability>L2_Typo</ability>
      <abilityName>字词错误</abilityName>
      <candidateList>
        <item>宣传月</item>
      </candidateList>
      <explain/>
      <paraID>10FC23F8</paraID>
      <start>27</start>
      <end>30</end>
      <status>unmodified</status>
      <modifiedWord/>
      <trackRevisions>false</trackRevisions>
    </reviewItem>
    <reviewItem>
      <errorID>887a4d08-718a-49a8-a8f0-dd6cfdb3efd8</errorID>
      <errorWord>——</errorWord>
      <group>L1_Punc</group>
      <groupName>标点问题</groupName>
      <ability>L2_Punc_CN</ability>
      <abilityName>标点符号问题</abilityName>
      <candidateList>
        <item>，</item>
      </candidateList>
      <explain/>
      <paraID>1A7C35A6</paraID>
      <start>13</start>
      <end>15</end>
      <status>unmodified</status>
      <modifiedWord/>
      <trackRevisions>false</trackRevisions>
    </reviewItem>
    <reviewItem>
      <errorID>4dfaee64-eaeb-4b5a-8514-13ed0f339314</errorID>
      <errorWord>社会保险法</errorWord>
      <group>L1_Knowledge</group>
      <groupName>知识性问题</groupName>
      <ability>L2_Knowledge</ability>
      <abilityName>其他知识</abilityName>
      <candidateList>
        <item>中华人民共和国社会保险法</item>
      </candidateList>
      <explain>当前法律法规名称使用简称，请注意是否应当使用全称。</explain>
      <paraID>75602E3D</paraID>
      <start>21</start>
      <end>26</end>
      <status>unmodified</status>
      <modifiedWord/>
      <trackRevisions>false</trackRevisions>
    </reviewItem>
    <reviewItem>
      <errorID>db6aaa6f-d706-44d1-b2eb-576086546696</errorID>
      <errorWord>海姆立克</errorWord>
      <group>L1_Knowledge</group>
      <groupName>知识性问题</groupName>
      <ability>L2_Term</ability>
      <abilityName>专业术语</abilityName>
      <candidateList>
        <item>海姆利希</item>
      </candidateList>
      <explain>医学名词[海姆立克]为不规范表述或旧称，其规范书面表述为[海姆利希]。</explain>
      <paraID>4F1679F0</paraID>
      <start>30</start>
      <end>34</end>
      <status>unmodified</status>
      <modifiedWord/>
      <trackRevisions>false</trackRevisions>
    </reviewItem>
    <reviewItem>
      <errorID>b28e8e2c-d8a2-4761-aab5-387c7a5f1012</errorID>
      <errorWord>即时</errorWord>
      <group>L1_Word</group>
      <groupName>字词问题</groupName>
      <ability>L2_Typo</ability>
      <abilityName>字词错误</abilityName>
      <candidateList>
        <item>及时</item>
      </candidateList>
      <explain>❶〈形〉正赶上时候；适合需要：～雨｜他来得很～。❷〈副〉不拖延；马上；立刻：有问题就～解决。</explain>
      <paraID>3A9A0686</paraID>
      <start>103</start>
      <end>105</end>
      <status>unmodified</status>
      <modifiedWord/>
      <trackRevisions>false</trackRevisions>
    </reviewItem>
    <reviewItem>
      <errorID>69581407-c8e9-4bf1-a977-638479f485e8</errorID>
      <errorWord>找茬</errorWord>
      <group>L1_Word</group>
      <groupName>字词问题</groupName>
      <ability>L2_Typo</ability>
      <abilityName>字词错误</abilityName>
      <candidateList>
        <item>找碴</item>
      </candidateList>
      <explain>存在发音相同字词的误用。</explain>
      <paraID> 8917D28</paraID>
      <start>6</start>
      <end>8</end>
      <status>unmodified</status>
      <modifiedWord/>
      <trackRevisions>false</trackRevisions>
    </reviewItem>
    <reviewItem>
      <errorID>6d3f9287-349c-441b-abaf-d28ac9540fe7</errorID>
      <errorWord>模拟触电仪</errorWord>
      <group>L1_Other</group>
      <groupName>其他问题</groupName>
      <ability>L2_Consistency</ability>
      <abilityName>一致性检查</abilityName>
      <candidateList>
        <item>模拟触电体验仪</item>
      </candidateList>
      <explain>术语一致性：文档中前面提到的是‘模拟触电体验仪’，此处‘模拟触电仪’表述不一致，应统一为‘模拟触电体验仪’</explain>
      <paraID>6717060A</paraID>
      <start>10</start>
      <end>15</end>
      <status>unmodified</status>
      <modifiedWord/>
      <trackRevisions>false</trackRevisions>
    </reviewItem>
    <reviewItem>
      <errorID>f0c57659-472a-4376-ac9e-a8603300a3a6</errorID>
      <errorWord>海姆立克</errorWord>
      <group>L1_Knowledge</group>
      <groupName>知识性问题</groupName>
      <ability>L2_Term</ability>
      <abilityName>专业术语</abilityName>
      <candidateList>
        <item>海姆利希</item>
      </candidateList>
      <explain>医学名词[海姆立克]为不规范表述或旧称，其规范书面表述为[海姆利希]。</explain>
      <paraID>6734E4EA</paraID>
      <start>15</start>
      <end>19</end>
      <status>unmodified</status>
      <modifiedWord/>
      <trackRevisions>false</trackRevisions>
    </reviewItem>
    <reviewItem>
      <errorID>d9d5f38b-d3bf-479b-949b-97ac5b1f4aff</errorID>
      <errorWord>问题</errorWord>
      <group>L1_Punc</group>
      <groupName>标点问题</groupName>
      <ability>L2_Punc_CN</ability>
      <abilityName>标点符号问题</abilityName>
      <candidateList>
        <item>问题；</item>
      </candidateList>
      <explain/>
      <paraID>31AF7BFF</paraID>
      <start>23</start>
      <end>25</end>
      <status>unmodified</status>
      <modifiedWord/>
      <trackRevisions>false</trackRevisions>
    </reviewItem>
    <reviewItem>
      <errorID>37ebf3ea-730a-444c-a69d-b1c6b3076a66</errorID>
      <errorWord>找茬</errorWord>
      <group>L1_Word</group>
      <groupName>字词问题</groupName>
      <ability>L2_Typo</ability>
      <abilityName>字词错误</abilityName>
      <candidateList>
        <item>找碴</item>
      </candidateList>
      <explain>存在发音相同字词的误用。</explain>
      <paraID>176340D8</paraID>
      <start>14</start>
      <end>16</end>
      <status>unmodified</status>
      <modifiedWord/>
      <trackRevisions>false</trackRevisions>
    </reviewItem>
    <reviewItem>
      <errorID>317687f7-f8ad-4140-9863-83871a12158f</errorID>
      <errorWord>将个人观点参与</errorWord>
      <group>L1_Grammar</group>
      <groupName>语法问题</groupName>
      <ability>L2_Grammar</ability>
      <abilityName>语法错误</abilityName>
      <candidateList>
        <item>介入</item>
      </candidateList>
      <explain/>
      <paraID>6EB4DD61</paraID>
      <start>31</start>
      <end>38</end>
      <status>unmodified</status>
      <modifiedWord/>
      <trackRevisions>false</trackRevisions>
    </reviewItem>
    <reviewItem>
      <errorID>72e23f2e-4e82-47b0-8ff9-ca91a942faa9</errorID>
      <errorWord>宣传</errorWord>
      <group>L1_Word</group>
      <groupName>字词问题</groupName>
      <ability>L2_Typo</ability>
      <abilityName>字词错误</abilityName>
      <candidateList>
        <item>在宣传</item>
      </candidateList>
      <explain/>
      <paraID>545690E7</paraID>
      <start>0</start>
      <end>2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4520e86-10ea-4065-8523-c31ff7e25c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2691</Words>
  <Characters>2789</Characters>
  <Lines>0</Lines>
  <Paragraphs>0</Paragraphs>
  <TotalTime>19</TotalTime>
  <ScaleCrop>false</ScaleCrop>
  <LinksUpToDate>false</LinksUpToDate>
  <CharactersWithSpaces>2790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2026-05-29T06:09:00Z</dcterms:created>
  <dc:creator>Show</dc:creator>
  <cp:lastModifiedBy>Show</cp:lastModifiedBy>
  <dcterms:modified xsi:type="dcterms:W3CDTF">2026-06-03T09:29:29Z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E4DA6D0171874AEA82CFD316D33B08E7_11</vt:lpwstr>
  </property>
  <property fmtid="{D5CDD505-2E9C-101B-9397-08002B2CF9AE}" pid="4" name="KSOTemplateDocerSaveRecord">
    <vt:lpwstr>eyJoZGlkIjoiNjI2YjZhOGViZTZhNjg0ODhkNDM4MTE4MTM4ODNhNjAiLCJ1c2VySWQiOiIzNjQ5MTEyNzgifQ==</vt:lpwstr>
  </property>
</Properties>
</file>