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1C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关于工伤预防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相关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工作情况的汇报</w:t>
      </w:r>
    </w:p>
    <w:p w14:paraId="41C4B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5654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尊敬的领导：</w:t>
      </w:r>
    </w:p>
    <w:p w14:paraId="5B576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衷心感谢贵局长期以来对我公司的信任与支持。根据工作安排，现将我公司2025年在成都市各县区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实施</w:t>
      </w:r>
      <w:r>
        <w:rPr>
          <w:rFonts w:hint="eastAsia" w:ascii="仿宋_GB2312" w:hAnsi="仿宋_GB2312" w:eastAsia="仿宋_GB2312" w:cs="仿宋_GB2312"/>
          <w:sz w:val="32"/>
          <w:szCs w:val="32"/>
        </w:rPr>
        <w:t>工伤预防项目情况、存在问题及改进措施，以及我公司在工伤预防领域的专业能力与服务支持体系汇报如下，恳请领导审阅指导。</w:t>
      </w:r>
    </w:p>
    <w:p w14:paraId="6DBC9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</w:rPr>
        <w:t>2025年成都市各县区工伤预防项目实施情况</w:t>
      </w:r>
    </w:p>
    <w:p w14:paraId="3D4A4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2025年，我公司有幸在贵局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及各</w:t>
      </w:r>
      <w:r>
        <w:rPr>
          <w:rFonts w:hint="eastAsia" w:ascii="仿宋_GB2312" w:hAnsi="仿宋_GB2312" w:eastAsia="仿宋_GB2312" w:cs="仿宋_GB2312"/>
          <w:sz w:val="32"/>
          <w:szCs w:val="32"/>
        </w:rPr>
        <w:t>区（市）县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人社部门</w:t>
      </w:r>
      <w:r>
        <w:rPr>
          <w:rFonts w:hint="eastAsia" w:ascii="仿宋_GB2312" w:hAnsi="仿宋_GB2312" w:eastAsia="仿宋_GB2312" w:cs="仿宋_GB2312"/>
          <w:sz w:val="32"/>
          <w:szCs w:val="32"/>
        </w:rPr>
        <w:t>的指导下，先后在四川天府新区、成都高新区、锦江区、成华区、金堂县、都江堰市等地承接实施工伤预防项目。我们始终坚持“精准治理、智慧赋能、文化引领”的理念，紧密结合各区（市）县产业特点和实际需求，打造了一系列具有示范效应的亮点工作。</w:t>
      </w:r>
    </w:p>
    <w:p w14:paraId="41AA9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四川</w:t>
      </w:r>
      <w:r>
        <w:rPr>
          <w:rFonts w:hint="eastAsia" w:ascii="楷体" w:hAnsi="楷体" w:eastAsia="楷体" w:cs="楷体"/>
          <w:sz w:val="32"/>
          <w:szCs w:val="32"/>
        </w:rPr>
        <w:t>天府新区，我们聚焦建筑业治理，深度应用数智IP“鹿小安”，构建“智能感知、智能决策、智慧响应”治理闭环。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创新推出隐患“随手拍”功能，职工通过移动端上报隐患，AI助手“鹿小安”辅助识别并推动形成闭环管理。同时，整合多源数据绘制风险热力图，建立“超额医疗费用识别模型”，实现基金风险的早发现、早预警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依托大数据为企业和项目精准画像，对30个在建项目开展月度监测，将45家重点企业（项目）纳入治理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累计排查隐患252项。同时，利用信令数据精准识别并推动建筑项目按项目参保。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</w:rPr>
        <w:t>基于AI大模型搭建工伤预防AI智能助手“鹿小安”，为企业和职工提供7×24小时政策咨询与操作指引。</w:t>
      </w:r>
    </w:p>
    <w:p w14:paraId="6156A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</w:rPr>
        <w:t>在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成都</w:t>
      </w:r>
      <w:r>
        <w:rPr>
          <w:rFonts w:hint="eastAsia" w:ascii="楷体" w:hAnsi="楷体" w:eastAsia="楷体" w:cs="楷体"/>
          <w:sz w:val="32"/>
          <w:szCs w:val="32"/>
        </w:rPr>
        <w:t>高新区，我们以数据治理为核心，以权威传播为亮点，精准服务重点企业。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利用大数据手段筛选200家工伤高风险企业，实施“调研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－</w:t>
      </w:r>
      <w:r>
        <w:rPr>
          <w:rFonts w:hint="eastAsia" w:ascii="仿宋_GB2312" w:hAnsi="仿宋_GB2312" w:eastAsia="仿宋_GB2312" w:cs="仿宋_GB2312"/>
          <w:sz w:val="32"/>
          <w:szCs w:val="32"/>
        </w:rPr>
        <w:t>回访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－</w:t>
      </w:r>
      <w:r>
        <w:rPr>
          <w:rFonts w:hint="eastAsia" w:ascii="仿宋_GB2312" w:hAnsi="仿宋_GB2312" w:eastAsia="仿宋_GB2312" w:cs="仿宋_GB2312"/>
          <w:sz w:val="32"/>
          <w:szCs w:val="32"/>
        </w:rPr>
        <w:t>培训”治理闭环。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拟邀请国务院特别重大事故调查组专家雷长群、广州大学周福霖院士团队首席教授等权威学者，开展特色直播活动，将顶尖专家的安全智慧传递给广大市民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60FEC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在锦江区，我们以“1+4+N”服务驿站体系为核心阵地，实现了宣传服务的精准触达。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针对不同群体，在“小牛哥驿站”“锦小行网约车之家”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东门市井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等阵地面向新就业形态人员等重点群体常态化开展</w:t>
      </w:r>
      <w:r>
        <w:rPr>
          <w:rFonts w:hint="eastAsia" w:ascii="仿宋_GB2312" w:hAnsi="仿宋_GB2312" w:eastAsia="仿宋_GB2312" w:cs="仿宋_GB2312"/>
          <w:sz w:val="32"/>
          <w:szCs w:val="32"/>
        </w:rPr>
        <w:t>宣传活动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通过VR体验、实操演练等方式，打破说教模式，提供“家门口式”服务。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在社区、商圈、学校开展“三进”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宣传</w:t>
      </w:r>
      <w:r>
        <w:rPr>
          <w:rFonts w:hint="eastAsia" w:ascii="仿宋_GB2312" w:hAnsi="仿宋_GB2312" w:eastAsia="仿宋_GB2312" w:cs="仿宋_GB2312"/>
          <w:sz w:val="32"/>
          <w:szCs w:val="32"/>
        </w:rPr>
        <w:t>活动，并协调各级媒体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扩大宣传声势</w:t>
      </w:r>
      <w:r>
        <w:rPr>
          <w:rFonts w:hint="eastAsia" w:ascii="仿宋_GB2312" w:hAnsi="仿宋_GB2312" w:eastAsia="仿宋_GB2312" w:cs="仿宋_GB2312"/>
          <w:sz w:val="32"/>
          <w:szCs w:val="32"/>
        </w:rPr>
        <w:t>，构建“媒体+阵地”宣传矩阵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有效提升社会公众的风险防范能力。</w:t>
      </w:r>
    </w:p>
    <w:p w14:paraId="1086D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</w:rPr>
        <w:t>在成华区，我们着力构建全覆盖、立体化的宣传格局。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在机关事业单位、社区、重点企业等地开展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主题</w:t>
      </w:r>
      <w:r>
        <w:rPr>
          <w:rFonts w:hint="eastAsia" w:ascii="仿宋_GB2312" w:hAnsi="仿宋_GB2312" w:eastAsia="仿宋_GB2312" w:cs="仿宋_GB2312"/>
          <w:sz w:val="32"/>
          <w:szCs w:val="32"/>
        </w:rPr>
        <w:t>宣传活动，通过现场讲解、互动问答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等方式</w:t>
      </w:r>
      <w:r>
        <w:rPr>
          <w:rFonts w:hint="eastAsia" w:ascii="仿宋_GB2312" w:hAnsi="仿宋_GB2312" w:eastAsia="仿宋_GB2312" w:cs="仿宋_GB2312"/>
          <w:sz w:val="32"/>
          <w:szCs w:val="32"/>
        </w:rPr>
        <w:t>普及工伤预防知识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精准对全区11个街道、13家快递站点、2家物流站点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配送海报、手册等工伤预防</w:t>
      </w:r>
      <w:r>
        <w:rPr>
          <w:rFonts w:hint="eastAsia" w:ascii="仿宋_GB2312" w:hAnsi="仿宋_GB2312" w:eastAsia="仿宋_GB2312" w:cs="仿宋_GB2312"/>
          <w:sz w:val="32"/>
          <w:szCs w:val="32"/>
        </w:rPr>
        <w:t>宣传物资3500余份。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制作工伤预防系列主题短视频、公益广告片，通过生动形象的画面和通俗易懂的语言，向公众传递工伤预防理念。</w:t>
      </w:r>
    </w:p>
    <w:p w14:paraId="15AEA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</w:rPr>
        <w:t>在金堂县，我们坚持“一企一策”深度治理与全民创意活动相结合。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选取50家工伤高发重点企业，实施“调研诊断+跟踪回访”精准闭环治理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累计帮助33家重点企业排查工伤事故隐患838条。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创新开展工伤预防短视频创意征集活动，激发社会公众参与工伤预防的积极性和创造性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4FB4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在都江堰市，我们融合古人治水智慧与现代科技，打造了独具魅力的工伤预防文化。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通过大数据锁定60家重点企业，推行“深度治理+动态监测”模式，实施“智能自查、辅助调查、专家治理、调研督促、联合督导”五级分层治理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累计</w:t>
      </w:r>
      <w:r>
        <w:rPr>
          <w:rFonts w:hint="eastAsia" w:ascii="仿宋_GB2312" w:hAnsi="仿宋_GB2312" w:eastAsia="仿宋_GB2312" w:cs="仿宋_GB2312"/>
          <w:sz w:val="32"/>
          <w:szCs w:val="32"/>
        </w:rPr>
        <w:t>帮助企业排查隐患1207条。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塑造“冰哥”“堰妹”IP形象及配套AI互动小程序，提出“有安全问题，就问冰哥堰妹！”的行动口号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</w:rPr>
        <w:t>邀请长江科学院原院长卢金友结合都江堰治水智慧拍摄宣传视频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通过“五进”活动、坝坝电影等形式，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将古老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安全</w:t>
      </w:r>
      <w:r>
        <w:rPr>
          <w:rFonts w:hint="eastAsia" w:ascii="仿宋_GB2312" w:hAnsi="仿宋_GB2312" w:eastAsia="仿宋_GB2312" w:cs="仿宋_GB2312"/>
          <w:sz w:val="32"/>
          <w:szCs w:val="32"/>
        </w:rPr>
        <w:t>智慧与现代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预防</w:t>
      </w:r>
      <w:r>
        <w:rPr>
          <w:rFonts w:hint="eastAsia" w:ascii="仿宋_GB2312" w:hAnsi="仿宋_GB2312" w:eastAsia="仿宋_GB2312" w:cs="仿宋_GB2312"/>
          <w:sz w:val="32"/>
          <w:szCs w:val="32"/>
        </w:rPr>
        <w:t>理念送入千家万户。</w:t>
      </w:r>
    </w:p>
    <w:p w14:paraId="0BE5A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sz w:val="32"/>
          <w:szCs w:val="32"/>
        </w:rPr>
        <w:t>存在的问题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及</w:t>
      </w:r>
      <w:r>
        <w:rPr>
          <w:rFonts w:hint="eastAsia" w:ascii="黑体" w:hAnsi="黑体" w:eastAsia="黑体" w:cs="黑体"/>
          <w:sz w:val="32"/>
          <w:szCs w:val="32"/>
        </w:rPr>
        <w:t>改善措施</w:t>
      </w:r>
    </w:p>
    <w:p w14:paraId="069DB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（一）存在的问题</w:t>
      </w:r>
    </w:p>
    <w:p w14:paraId="4A19C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跨部门协同深度有待加强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在部分项目的实施中，与应急、卫健、住建等联席会议成员单位的常态化沟通机制尚不完善，信息共享和联合行动效率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有待提升。</w:t>
      </w:r>
    </w:p>
    <w:p w14:paraId="2B246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项目进展汇报及时性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不足。</w:t>
      </w:r>
      <w:r>
        <w:rPr>
          <w:rFonts w:hint="eastAsia" w:ascii="仿宋_GB2312" w:hAnsi="仿宋_GB2312" w:eastAsia="仿宋_GB2312" w:cs="仿宋_GB2312"/>
          <w:sz w:val="32"/>
          <w:szCs w:val="32"/>
        </w:rPr>
        <w:t>虽然建立了基本的汇报流程，但在面对重要节点调整或突发情况时，向人社部门及相关成员单位进行事前方案报审、事中动态反馈的响应速度尚有不足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3223A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活动现场组织精细化程度有待提高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个别大型宣传活动物料准备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不够</w:t>
      </w:r>
      <w:r>
        <w:rPr>
          <w:rFonts w:hint="eastAsia" w:ascii="仿宋_GB2312" w:hAnsi="仿宋_GB2312" w:eastAsia="仿宋_GB2312" w:cs="仿宋_GB2312"/>
          <w:sz w:val="32"/>
          <w:szCs w:val="32"/>
        </w:rPr>
        <w:t>充足、现场功能区域规划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不够</w:t>
      </w:r>
      <w:r>
        <w:rPr>
          <w:rFonts w:hint="eastAsia" w:ascii="仿宋_GB2312" w:hAnsi="仿宋_GB2312" w:eastAsia="仿宋_GB2312" w:cs="仿宋_GB2312"/>
          <w:sz w:val="32"/>
          <w:szCs w:val="32"/>
        </w:rPr>
        <w:t>合理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对于活动期间可能出现的突发状况，应急预案的针对性和演练的充分性需要进一步加强。</w:t>
      </w:r>
    </w:p>
    <w:p w14:paraId="17F409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改善措施</w:t>
      </w:r>
    </w:p>
    <w:p w14:paraId="5ECB48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针对上述问题，我公司将从以下三个方面着力改进，确保后续项目更高质量地推进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737A0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深化沟通协调效能。一是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建立常态化的联席会议成员单位拜访机制，主动加强与应急、卫健等部门的对接沟通。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强化与项目重点企业的深度交流，深入了解企业在工伤预防中的实际需求与痛点，确保各项治理与培训措施更加贴近实际，切实提升企业参与的主动性与配合度。</w:t>
      </w:r>
    </w:p>
    <w:p w14:paraId="523DF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完善多维汇报体系。一是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严格落实日度、周度、月度汇报制度，确保项目执行的每一个环节都清晰可溯、有据可查。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针对重要节点工作、关键环节调整及重大活动实施，强化事前方案报审、事中动态反馈、事后总结复盘的全流程汇报，确保人社部门及联席会议成员单位能第一时间掌握项目动态、及时给予指导。</w:t>
      </w:r>
    </w:p>
    <w:p w14:paraId="219D8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夯实活动组织保障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物料筹备坚持需求导向，提前梳理清单、精细准备，确保宣传资料、教学用具等充足完备。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活动现场布场严格执行标准化流程，合理规划功能区域。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</w:rPr>
        <w:t>强化应急保障，制定完善突发事件应急预案，配备必要的医疗急救物资与人员力量，加强现场安全巡查与秩序维护，确保各项活动在安全可控的前提下高质量开展。</w:t>
      </w:r>
    </w:p>
    <w:p w14:paraId="6180A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三、易训专业化</w:t>
      </w:r>
      <w:r>
        <w:rPr>
          <w:rFonts w:hint="eastAsia" w:ascii="黑体" w:hAnsi="黑体" w:eastAsia="黑体" w:cs="黑体"/>
          <w:sz w:val="32"/>
          <w:szCs w:val="32"/>
        </w:rPr>
        <w:t>服务支持体系</w:t>
      </w:r>
    </w:p>
    <w:p w14:paraId="65091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为积极响应国家《工伤预防五年行动计划（2026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</w:t>
      </w:r>
      <w:r>
        <w:rPr>
          <w:rFonts w:hint="eastAsia" w:ascii="仿宋_GB2312" w:hAnsi="仿宋_GB2312" w:eastAsia="仿宋_GB2312" w:cs="仿宋_GB2312"/>
          <w:sz w:val="32"/>
          <w:szCs w:val="32"/>
        </w:rPr>
        <w:t>2030年）》的新要求，助力成都市工伤预防工作再上新台阶，我公司已构建起全方位、专业化、智慧化的服务体系，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期望</w:t>
      </w:r>
      <w:r>
        <w:rPr>
          <w:rFonts w:hint="eastAsia" w:ascii="仿宋_GB2312" w:hAnsi="仿宋_GB2312" w:eastAsia="仿宋_GB2312" w:cs="仿宋_GB2312"/>
          <w:sz w:val="32"/>
          <w:szCs w:val="32"/>
        </w:rPr>
        <w:t>为成都市各级人社部门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工伤预防工作</w:t>
      </w:r>
      <w:r>
        <w:rPr>
          <w:rFonts w:hint="eastAsia" w:ascii="仿宋_GB2312" w:hAnsi="仿宋_GB2312" w:eastAsia="仿宋_GB2312" w:cs="仿宋_GB2312"/>
          <w:sz w:val="32"/>
          <w:szCs w:val="32"/>
        </w:rPr>
        <w:t>提供深度支持。</w:t>
      </w:r>
    </w:p>
    <w:p w14:paraId="204F2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在精准评估成效方面，我公司可提供工伤预防大数据分析服务。</w:t>
      </w:r>
      <w:r>
        <w:rPr>
          <w:rFonts w:hint="eastAsia" w:ascii="仿宋_GB2312" w:hAnsi="仿宋_GB2312" w:eastAsia="仿宋_GB2312" w:cs="仿宋_GB2312"/>
          <w:sz w:val="32"/>
          <w:szCs w:val="32"/>
        </w:rPr>
        <w:t>针对当前工伤预防项目“成效监测缺抓手、部门协同缺纽带、长效规划缺数据支撑”的痛点，以及未来五年计划中“重点行业工伤事故发生率五年降低10%左右”的硬性指标，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我公司可以提供专业化工伤预防大数据分析服务，通过构建风险分布模型，</w:t>
      </w:r>
      <w:r>
        <w:rPr>
          <w:rFonts w:hint="eastAsia" w:ascii="仿宋_GB2312" w:hAnsi="仿宋_GB2312" w:eastAsia="仿宋_GB2312" w:cs="仿宋_GB2312"/>
          <w:sz w:val="32"/>
          <w:szCs w:val="32"/>
        </w:rPr>
        <w:t>精准圈定治理目标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并对</w:t>
      </w:r>
      <w:r>
        <w:rPr>
          <w:rFonts w:hint="eastAsia" w:ascii="仿宋_GB2312" w:hAnsi="仿宋_GB2312" w:eastAsia="仿宋_GB2312" w:cs="仿宋_GB2312"/>
          <w:sz w:val="32"/>
          <w:szCs w:val="32"/>
        </w:rPr>
        <w:t>治理成效进行多维度复盘。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同时，我公司可提供数据</w:t>
      </w:r>
      <w:r>
        <w:rPr>
          <w:rFonts w:hint="eastAsia" w:ascii="仿宋_GB2312" w:hAnsi="仿宋_GB2312" w:eastAsia="仿宋_GB2312" w:cs="仿宋_GB2312"/>
          <w:sz w:val="32"/>
          <w:szCs w:val="32"/>
        </w:rPr>
        <w:t>可视化系统平台，市局可通过数据大屏实时掌握全市工伤预防的动态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数据和项目指标完成情况，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实现对项目成效的</w:t>
      </w:r>
      <w:r>
        <w:rPr>
          <w:rFonts w:hint="eastAsia" w:ascii="仿宋_GB2312" w:hAnsi="仿宋_GB2312" w:eastAsia="仿宋_GB2312" w:cs="仿宋_GB2312"/>
          <w:sz w:val="32"/>
          <w:szCs w:val="32"/>
        </w:rPr>
        <w:t>随时跟踪、科学决策。</w:t>
      </w:r>
    </w:p>
    <w:p w14:paraId="14EFF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在赋能企业内生力量方面，我公司打造了智助转训体系。</w:t>
      </w:r>
      <w:r>
        <w:rPr>
          <w:rFonts w:hint="eastAsia" w:ascii="仿宋_GB2312" w:hAnsi="仿宋_GB2312" w:eastAsia="仿宋_GB2312" w:cs="仿宋_GB2312"/>
          <w:sz w:val="32"/>
          <w:szCs w:val="32"/>
        </w:rPr>
        <w:t>面向重点企业安全管理人员开展工伤预防培训师培训，通过定制化课程和配套课件，帮助企业培育骨干人才，推动大规模内部转训。我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公司可</w:t>
      </w:r>
      <w:r>
        <w:rPr>
          <w:rFonts w:hint="eastAsia" w:ascii="仿宋_GB2312" w:hAnsi="仿宋_GB2312" w:eastAsia="仿宋_GB2312" w:cs="仿宋_GB2312"/>
          <w:sz w:val="32"/>
          <w:szCs w:val="32"/>
        </w:rPr>
        <w:t>提供线上平台支撑和全程督导，保障一名培训师平均转训不低于三十名学员，并交付符合国家规定的规范化培训档案，真正实现知识技能层层传导至生产一线，赋能企业常态化自主开展工伤预防的能力。</w:t>
      </w:r>
    </w:p>
    <w:p w14:paraId="48296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在整合宣传阵地方面，我公司拥有创新的宣传体系和独特的渠道优势。</w:t>
      </w:r>
      <w:r>
        <w:rPr>
          <w:rFonts w:hint="eastAsia" w:ascii="仿宋_GB2312" w:hAnsi="仿宋_GB2312" w:eastAsia="仿宋_GB2312" w:cs="仿宋_GB2312"/>
          <w:sz w:val="32"/>
          <w:szCs w:val="32"/>
        </w:rPr>
        <w:t>在传播渠道上，我公司与人民网、新华网等国家级媒体及《中国劳动保障报》等核心行业媒体保持长期战略合作，曾助力地方人社首次登上省级春晚；在内容制作上，可承担直播、竞赛、公益片、微电影、文化IP打造等多种产品；同时拥有国内顶尖的安全生产专家资源，并具备将地域特色与工伤预防深度融合的创新经验，可为成都打造具有全国影响力的宣传品牌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基于成都市工伤预防工作实际，我们</w:t>
      </w:r>
      <w:r>
        <w:rPr>
          <w:rFonts w:hint="eastAsia" w:ascii="仿宋_GB2312" w:hAnsi="仿宋_GB2312" w:eastAsia="仿宋_GB2312" w:cs="仿宋_GB2312"/>
          <w:sz w:val="32"/>
          <w:szCs w:val="32"/>
        </w:rPr>
        <w:t>建议根据各县区产业特色，将前期打造的工伤预防站点联合周边相关单位，通过常态化活动深化点位特色，让阵地真正“用起来”。</w:t>
      </w:r>
    </w:p>
    <w:p w14:paraId="6D3DD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在项目管理规范与绩效评估方面，我公司拥有成熟的体系和丰富的经验。</w:t>
      </w:r>
      <w:r>
        <w:rPr>
          <w:rFonts w:hint="eastAsia" w:ascii="仿宋_GB2312" w:hAnsi="仿宋_GB2312" w:eastAsia="仿宋_GB2312" w:cs="仿宋_GB2312"/>
          <w:sz w:val="32"/>
          <w:szCs w:val="32"/>
        </w:rPr>
        <w:t>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公司</w:t>
      </w:r>
      <w:r>
        <w:rPr>
          <w:rFonts w:hint="eastAsia" w:ascii="仿宋_GB2312" w:hAnsi="仿宋_GB2312" w:eastAsia="仿宋_GB2312" w:cs="仿宋_GB2312"/>
          <w:sz w:val="32"/>
          <w:szCs w:val="32"/>
        </w:rPr>
        <w:t>能够协助建立健全联席会议制度、专家库管理及项目全流程操作指南，提供申报表、合同书、评估验收表等全套规范文本。在绩效评估上，我们倡导建立涵盖实施过程规范性、项目结案履约性、目标成效性的三维评估体系，将事故率下降、企业满意度、参保人数增长等纳入考核，并可全程协助编写评估标准，确保科学公正。</w:t>
      </w:r>
    </w:p>
    <w:p w14:paraId="42F93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在信息化支撑方面，我公司可提供解决数据分析、风险识别、数据共享、基金监管、便捷业务管理的智慧信息系统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为全市工伤预防工作提供强大的技术底座，助力实现全流程的数字化、智能化管理。</w:t>
      </w:r>
    </w:p>
    <w:p w14:paraId="38C40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易训始终致力于成为工伤预防领域的专业智库和贴心伙伴。我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公司</w:t>
      </w:r>
      <w:r>
        <w:rPr>
          <w:rFonts w:hint="eastAsia" w:ascii="仿宋_GB2312" w:hAnsi="仿宋_GB2312" w:eastAsia="仿宋_GB2312" w:cs="仿宋_GB2312"/>
          <w:sz w:val="32"/>
          <w:szCs w:val="32"/>
        </w:rPr>
        <w:t>期待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借助在全国各地</w:t>
      </w:r>
      <w:r>
        <w:rPr>
          <w:rFonts w:hint="eastAsia" w:ascii="仿宋_GB2312" w:hAnsi="仿宋_GB2312" w:eastAsia="仿宋_GB2312" w:cs="仿宋_GB2312"/>
          <w:sz w:val="32"/>
          <w:szCs w:val="32"/>
        </w:rPr>
        <w:t>积累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的工伤预防</w:t>
      </w:r>
      <w:r>
        <w:rPr>
          <w:rFonts w:hint="eastAsia" w:ascii="仿宋_GB2312" w:hAnsi="仿宋_GB2312" w:eastAsia="仿宋_GB2312" w:cs="仿宋_GB2312"/>
          <w:sz w:val="32"/>
          <w:szCs w:val="32"/>
        </w:rPr>
        <w:t>经验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为成都市构建更加科学、精准、高效的工伤预防体系贡献力量。</w:t>
      </w:r>
    </w:p>
    <w:p w14:paraId="2A197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不当之处，请批评指正。</w:t>
      </w:r>
    </w:p>
    <w:p w14:paraId="2E079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7072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成都</w:t>
      </w:r>
      <w:r>
        <w:rPr>
          <w:rFonts w:hint="eastAsia" w:ascii="仿宋_GB2312" w:hAnsi="仿宋_GB2312" w:eastAsia="仿宋_GB2312" w:cs="仿宋_GB2312"/>
          <w:sz w:val="32"/>
          <w:szCs w:val="32"/>
        </w:rPr>
        <w:t>易训企业管理咨询有限公司</w:t>
      </w:r>
    </w:p>
    <w:p w14:paraId="528F2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2026年3月19日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CDA4A"/>
    <w:multiLevelType w:val="singleLevel"/>
    <w:tmpl w:val="A4BCDA4A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C1F13"/>
    <w:rsid w:val="417C1F13"/>
    <w:rsid w:val="66FD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仿宋_GB2312" w:cs="仿宋_GB2312"/>
      <w:kern w:val="2"/>
      <w:sz w:val="32"/>
      <w:szCs w:val="32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dd6fe7d7-9488-4255-aa67-39e8cd99f71c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6156A376</paraID>
      <start>64</start>
      <end>65</end>
      <status>modified</status>
      <modifiedWord>－</modifiedWord>
      <trackRevisions>false</trackRevisions>
    </reviewItem>
    <reviewItem>
      <errorID>d3307829-d88b-403c-a170-fd0be4dbfd06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6156A376</paraID>
      <start>67</start>
      <end>68</end>
      <status>modified</status>
      <modifiedWord>－</modifiedWord>
      <trackRevisions>false</trackRevisions>
    </reviewItem>
    <reviewItem>
      <errorID>0c8c1ecc-fb70-4c78-9b4c-7b68c45fa873</errorID>
      <errorWord>，</errorWord>
      <group>L1_AI</group>
      <groupName>深度校对</groupName>
      <ability>L2_AI_Punc</ability>
      <abilityName>标点纠错</abilityName>
      <candidateList>
        <item>。</item>
      </candidateList>
      <explain/>
      <paraID>1086D120</paraID>
      <start>173</start>
      <end>174</end>
      <status>modified</status>
      <modifiedWord>。</modifiedWord>
      <trackRevisions>false</trackRevisions>
    </reviewItem>
    <reviewItem>
      <errorID>74eb20e6-e2a0-446e-9769-6c9d7321135a</errorID>
      <errorWord>古老</errorWord>
      <group>L1_AI</group>
      <groupName>深度校对</groupName>
      <ability>L2_AI_Word</ability>
      <abilityName>字词纠错</abilityName>
      <candidateList>
        <item>将古老</item>
      </candidateList>
      <explain/>
      <paraID>24FB4DE8</paraID>
      <start>219</start>
      <end>222</end>
      <status>modified</status>
      <modifiedWord>将古老</modifiedWord>
      <trackRevisions>false</trackRevisions>
    </reviewItem>
    <reviewItem>
      <errorID>ceeffae9-8292-4b84-a73f-70c476d248d6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65091F67</paraID>
      <start>23</start>
      <end>24</end>
      <status>modified</status>
      <modifiedWord>—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dd3c93a-9c73-453b-a490-20a833a2f4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3299</Words>
  <Characters>3358</Characters>
  <Lines>0</Lines>
  <Paragraphs>0</Paragraphs>
  <TotalTime>27</TotalTime>
  <ScaleCrop>false</ScaleCrop>
  <LinksUpToDate>false</LinksUpToDate>
  <CharactersWithSpaces>3384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2026-03-19T02:34:00Z</dcterms:created>
  <dc:creator>Show</dc:creator>
  <cp:lastModifiedBy>Show</cp:lastModifiedBy>
  <dcterms:modified xsi:type="dcterms:W3CDTF">2026-03-19T05:58:42Z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8CA58E296C984CB9A7DFC81C4B392DF8_11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