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When a large-scale public health crisis strikes, mental health researchers typically ask how much distress a population experiences, documenting the proportion screening positive for depression, anxiety, or stress on standardised instruments [1-3]. Less commonly asked is whether the diverse concerns generated by a crisis (fears of infection, lost income, food shortages, social exclusion, stigma) are associated with these distress dimensions in the same way, or whether different types of concern map onto different symptom profiles. This question matters because, where mental health systems are already under-resourced [4,5], knowing which domains of worry are most strongly associated with which dimensions of distress could inform more specific and efficient mental health responses.</w:t>
      </w:r>
    </w:p>
    <w:p>
      <w:pPr>
        <w:pStyle w:val="BodyText"/>
      </w:pPr>
      <w:r>
        <w:t xml:space="preserve">Beyond well-documented sociodemographic risk factors (age, gender, education, employment, comorbidity; reviewed in [6,7]), the crisis-related concerns themselves merit closer analytical attention. Where the Depression Anxiety Stress Scales (DASS-21) [8] are used, the three subscales are typically modelled as separate outcomes with a shared predictor set. The tripartite model on which the DASS was built holds that depression and anxiety share a common component of general negative affect but are differentiated by low positive affect (specific to depression) and physiological hyperarousal (specific to anxiety), while the stress subscale captures a broader state of tension and irritability [9]. If these symptom dimensions are partially distinct in their affective structure, their associations with external stressors may also differ. Yet this possibility is rarely examined directly. Studies using the DASS-21 during the pandemic can reveal that a given predictor reaches significance for one subscale but not another: Lenzo et al. [10] found different emotional regulation predictors for each DASS-21 dimension in Italian healthcare workers; Pandey et al. [11] reported that occupational role predicted anxiety but not depression or stress among Nepalese healthcare workers; and Poudel et al. [12] found that predictors differed across the three DASS-21 subscales in a Nepalese general-population sample, with disturbed family relations predicting anxiety and stress but not depression, while COVID-19 infection predicted depression and anxiety but not stress. In each case, the cross-subscale differences were noted incidentally rather than treated as a substantive finding requiring theoretical interpretation. Meta-analyses have similarly reported pooled prevalence and predictor effects for depression, anxiety, and stress in parallel without assessing whether different categories of stressor carry systematically different associations with each symptom dimension [2,13].</w:t>
      </w:r>
    </w:p>
    <w:p>
      <w:pPr>
        <w:pStyle w:val="BodyText"/>
      </w:pPr>
      <w:r>
        <w:t xml:space="preserve">On the predictor side, a parallel issue arises with how crisis-related worry is measured. Unidimensional instruments such as the Fear of COVID-19 Scale [14] yield a single score. Where surveys include multi-item worry inventories covering heterogeneous concerns, these items are commonly summed into a single composite. This analytical convention treats different types of concern as interchangeable in their association with distress. Taylor et al.’s [15] COVID Stress Scales are a notable counterexample, identifying five empirically distinguishable facets of pandemic-related distress. However, Taylor et al.’s facets describe varieties of stress</w:t>
      </w:r>
      <w:r>
        <w:t xml:space="preserve"> </w:t>
      </w:r>
      <w:r>
        <w:rPr>
          <w:iCs/>
          <w:i/>
        </w:rPr>
        <w:t xml:space="preserve">response</w:t>
      </w:r>
      <w:r>
        <w:t xml:space="preserve"> </w:t>
      </w:r>
      <w:r>
        <w:t xml:space="preserve">(danger fears, contamination anxiety, xenophobia, traumatic stress, compulsive checking); our interest is in varieties of stressor</w:t>
      </w:r>
      <w:r>
        <w:t xml:space="preserve"> </w:t>
      </w:r>
      <w:r>
        <w:rPr>
          <w:iCs/>
          <w:i/>
        </w:rPr>
        <w:t xml:space="preserve">exposure</w:t>
      </w:r>
      <w:r>
        <w:t xml:space="preserve">, the material, social, and symbolic concerns that characterise the crisis experience, particularly in resource-constrained settings where worries about food security, livelihood, and stigma may be more salient than contamination anxiety or compulsive checking. Moreover, even multidimensional stress instruments have primarily been used to examine the internal structure of pandemic stress rather than to ask whether different stress or worry domains carry different associations with different distress outcomes. This joint question, whether decomposing worry reveals differential associations across symptom dimensions, has seldom been centred as an empirical question in its own right.</w:t>
      </w:r>
    </w:p>
    <w:p>
      <w:pPr>
        <w:pStyle w:val="BodyText"/>
      </w:pPr>
      <w:r>
        <w:t xml:space="preserve">We draw on the Stress Process Model [16,17] to motivate this decomposition. The model’s concept of</w:t>
      </w:r>
      <w:r>
        <w:t xml:space="preserve"> </w:t>
      </w:r>
      <w:r>
        <w:rPr>
          <w:iCs/>
          <w:i/>
        </w:rPr>
        <w:t xml:space="preserve">stressor proliferation</w:t>
      </w:r>
      <w:r>
        <w:t xml:space="preserve">, the tendency for a primary stressor to cascade into secondary concerns across economic, social, and personal domains, describes the crisis experience well: an initial health threat rapidly generates livelihood loss, family disruption, food insecurity, and fears of social exclusion [18]. Because this proliferation is shaped by social position, an aggregate worry score may collapse variation that matters for distinguishing which symptom dimensions are most strongly implicated. We complement this with Hobfoll’s [19,20] Conservation of Resources theory, which suggests that threats to different types of resource (material, social, symbolic) may be associated with different forms of distress: worrying about whether one can feed one’s family may not carry the same psychological signature as worrying about being stigmatised by neighbours. We treat this as an orienting framework rather than a set of precise predictions.</w:t>
      </w:r>
    </w:p>
    <w:p>
      <w:pPr>
        <w:pStyle w:val="BodyText"/>
      </w:pPr>
      <w:r>
        <w:t xml:space="preserve">We test this using data from the SPEAR study (Social, Psychological, and Economic Impact of COVID-19 Among Residents), a cross-sectional household survey conducted across 13 community sites in Indonesia, Nepal, and Vietnam during February to June 2021. The survey originally scored its 21-item worry inventory as a single composite; the present study decomposes it into five validated sub-domains. The central aim is to test whether these domains (health fears, economic worry, basic-needs worry, social disruption, and safety/stigma) show differential associations with depression, anxiety, and stress as measured by the DASS-21.</w:t>
      </w:r>
    </w:p>
    <w:p>
      <w:pPr>
        <w:pStyle w:val="BodyText"/>
      </w:pPr>
      <w:r>
        <w:t xml:space="preserve">In support of this central question, we also (a) validate the five-domain structure using split-sample factor analysis; (b) examine whether the joint pattern of associations among livelihood disruption, perceived health risk, specific worry domains, and specific symptom dimensions is consistent with hypothesised relationships among these variables (all measured concurrently; no directional inference is drawn); and (c) describe how worry-distress association patterns vary across the three country contexts. These countries differ in economic structure, healthcare capacity, pandemic timing, and cultural norms. Metric measurement invariance across the three countries was tested and supported for both the DASS-21 and the five-factor worry model (Methods §2.3), licensing comparison of loading-weighted coefficients across countries; scalar invariance was not supported, so latent means are not compared and country-level analyses are treated as descriptive. The limited number of community clusters (k = 13) and purposive element in site selection further constrain cross-national inference.</w:t>
      </w:r>
    </w:p>
    <w:p>
      <w:pPr>
        <w:pStyle w:val="BodyText"/>
      </w:pPr>
      <w:r>
        <w:t xml:space="preserve">If differential worry-distress associations are observed, this would carry both empirical and conceptual implications: empirically, it would demonstrate that the predominant aggregate-score approach obscures meaningful variation; conceptually, it would suggest that psychological distress during a public health crisis is not a uniform response to generalised threat but a set of differentiated responses to specific domains of concern, a pattern that, if replicated in longitudinal and intervention research, could inform more targeted mental health programming.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2026-04-18T06:06:00Z</dcterms:created>
  <dcterms:modified xsi:type="dcterms:W3CDTF">2026-04-18T06:06:00Z</dcterms:modified>
</cp:coreProperties>
</file>

<file path=docProps/custom.xml><?xml version="1.0" encoding="utf-8"?>
<Properties xmlns="http://schemas.openxmlformats.org/officeDocument/2006/custom-properties" xmlns:vt="http://schemas.openxmlformats.org/officeDocument/2006/docPropsVTypes"/>
</file>