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thods"/>
    <w:p>
      <w:pPr>
        <w:pStyle w:val="Heading1"/>
      </w:pPr>
      <w:r>
        <w:t xml:space="preserve">Methods</w:t>
      </w:r>
    </w:p>
    <w:bookmarkStart w:id="20" w:name="study-design-and-population"/>
    <w:p>
      <w:pPr>
        <w:pStyle w:val="Heading2"/>
      </w:pPr>
      <w:r>
        <w:t xml:space="preserve">2.1 Study Design and Population</w:t>
      </w:r>
    </w:p>
    <w:p>
      <w:pPr>
        <w:pStyle w:val="FirstParagraph"/>
      </w:pPr>
      <w:r>
        <w:t xml:space="preserve">We conducted a secondary analysis of cross-sectional household survey data from the SPEAR study [21], collected between February and June 2021 at 13 community sites across Indonesia, Nepal, and Vietnam (Figure 1; urban, peri-urban, rural, and remote settings as defined in [21]). The data-collection window encompassed distinct national pandemic phases. Households were recruited by purposive site selection with random within-site sampling; one adult per household (aged ≥ 18, consenting, competent in the local interview language) completed a structured interview. Fieldwork procedures and translation are reported in [21].</w:t>
      </w:r>
    </w:p>
    <w:p>
      <w:pPr>
        <w:pStyle w:val="BodyText"/>
      </w:pPr>
      <w:r>
        <w:t xml:space="preserve">Two groups were excluded from the primary analysis: respondents with missing site identifier, and Vietnamese respondents recruited outside the four pre-specified sites during a protocol extension. The primary analytic sample comprised n = 1,462 across 13 protocol-specified sites. The parent SPEAR study [21] was reviewed and approved by the National Hospital for Tropical Diseases Ethics Committee (Hanoi, Vietnam), the Hospital for Tropical Diseases Ethics Committee (Ho Chi Minh City, Vietnam), the Ethics Committee of the Nepal Health Research Council (Kathmandu, Nepal), the Patan Hospital Ethics Committee (Kathmandu, Nepal), the Ethics Committee of the Faculty of Medicine, University of Indonesia (Jakarta, Indonesia), and the Oxford Tropical Research Ethics Committee (Oxford, UK); local government permission was obtained in each context as required by local regulations. Reporting follows the STROBE recommendations [22].</w:t>
      </w:r>
    </w:p>
    <w:bookmarkEnd w:id="20"/>
    <w:bookmarkStart w:id="21" w:name="measures"/>
    <w:p>
      <w:pPr>
        <w:pStyle w:val="Heading2"/>
      </w:pPr>
      <w:r>
        <w:t xml:space="preserve">2.2 Measures</w:t>
      </w:r>
    </w:p>
    <w:p>
      <w:pPr>
        <w:pStyle w:val="FirstParagraph"/>
      </w:pPr>
      <w:r>
        <w:rPr>
          <w:iCs/>
          <w:i/>
        </w:rPr>
        <w:t xml:space="preserve">Psychological distress.</w:t>
      </w:r>
      <w:r>
        <w:t xml:space="preserve"> </w:t>
      </w:r>
      <w:r>
        <w:t xml:space="preserve">The primary outcomes were the depression, anxiety, and stress subscales of the DASS-21 [8] (7 items each, 4-point Likert 0–3), prorated when ≥ 6 of 7 items were complete, multiplied by two for DASS-42 equivalence, and z-standardised for regression analyses. The DASS-21 has been validated in Southeast Asian LMIC settings [23,24]; translation and pilot procedures are reported in [21]. Psychometric properties are in Table 2.</w:t>
      </w:r>
    </w:p>
    <w:p>
      <w:pPr>
        <w:pStyle w:val="BodyText"/>
      </w:pPr>
      <w:r>
        <w:rPr>
          <w:iCs/>
          <w:i/>
        </w:rPr>
        <w:t xml:space="preserve">Crisis-related worry.</w:t>
      </w:r>
      <w:r>
        <w:t xml:space="preserve"> </w:t>
      </w:r>
      <w:r>
        <w:t xml:space="preserve">The primary exposures were five sub-domains of crisis-related worry, constructed from a bespoke 21-item inventory developed for the SPEAR study [21]. Each item was rated on a 4-point Likert scale (0 =</w:t>
      </w:r>
      <w:r>
        <w:t xml:space="preserve"> </w:t>
      </w:r>
      <w:r>
        <w:rPr>
          <w:iCs/>
          <w:i/>
        </w:rPr>
        <w:t xml:space="preserve">not at all worried</w:t>
      </w:r>
      <w:r>
        <w:t xml:space="preserve"> </w:t>
      </w:r>
      <w:r>
        <w:t xml:space="preserve">to 3 =</w:t>
      </w:r>
      <w:r>
        <w:t xml:space="preserve"> </w:t>
      </w:r>
      <w:r>
        <w:rPr>
          <w:iCs/>
          <w:i/>
        </w:rPr>
        <w:t xml:space="preserve">extremely worried</w:t>
      </w:r>
      <w:r>
        <w:t xml:space="preserve">). The five sub-domains were: health fears (5 items; range 0–15); economic worry (7 items; 0–21); basic-needs worry (3 items; 0–9); social disruption (4 items; 0–12); and safety/stigma (2 items; 0–6). Item-level composition, scoring rules, and reliability are in Table S1. The five-factor structure was validated by split-sample factor analysis and its cross-country measurement invariance assessed alongside the DASS-21 (see below).</w:t>
      </w:r>
    </w:p>
    <w:p>
      <w:pPr>
        <w:pStyle w:val="BodyText"/>
      </w:pPr>
      <w:r>
        <w:rPr>
          <w:iCs/>
          <w:i/>
        </w:rPr>
        <w:t xml:space="preserve">Covariates.</w:t>
      </w:r>
      <w:r>
        <w:t xml:space="preserve"> </w:t>
      </w:r>
      <w:r>
        <w:t xml:space="preserve">Covariates were organised into two blocks informed by the Stress Process Model [16] and Conservation of Resources theory [19]. Block 1 (demographics) included age, gender, ethnic-minority status, educational attainment, employment status, self-rated general health, and comorbidity count. Block 2 (crisis context) comprised perceived health threat, self-assessed infection risk, health-system trust, and household livelihood disruption (Table S1). Exploratory moderators included a binary indicator for any healthcare worker in the household and a site-level community-support scale (Table S1). Variable coding rules are documented in Table S1.</w:t>
      </w:r>
    </w:p>
    <w:bookmarkEnd w:id="21"/>
    <w:bookmarkStart w:id="22" w:name="statistical-analysis"/>
    <w:p>
      <w:pPr>
        <w:pStyle w:val="Heading2"/>
      </w:pPr>
      <w:r>
        <w:t xml:space="preserve">2.3 Statistical Analysis</w:t>
      </w:r>
    </w:p>
    <w:p>
      <w:pPr>
        <w:pStyle w:val="FirstParagraph"/>
      </w:pPr>
      <w:r>
        <w:t xml:space="preserve">Figure 2 provides a visual overview of the analytical pipeline. All analyses were conducted in R version 4.4.3; package versions and analysis scripts are available at https://github.com/ChaokunHong/pathways-worry-distress-lmic (archived at https://doi.org/10.5281/zenodo.19631187).</w:t>
      </w:r>
    </w:p>
    <w:p>
      <w:pPr>
        <w:pStyle w:val="BodyText"/>
      </w:pPr>
      <w:r>
        <w:rPr>
          <w:iCs/>
          <w:i/>
        </w:rPr>
        <w:t xml:space="preserve">Measurement validation and missing data.</w:t>
      </w:r>
      <w:r>
        <w:t xml:space="preserve"> </w:t>
      </w:r>
      <w:r>
        <w:t xml:space="preserve">The worry inventory’s five-factor structure was validated by split-sample exploratory (n = 660; maximum-likelihood extraction, oblimin rotation, polychoric correlations [25]; Horn’s parallel analysis [26]) and confirmatory factor analysis (hold-out n = 660; WLSMV estimator [27,28]; Table S2). Multi-group CFA was conducted to assess measurement invariance across the three countries for both instruments (Tables S3, S4; Chen [29]; Putnick &amp; Bornstein [30]). Covariate missingness affected a substantial proportion of the sample (Figure 1) and was handled by MICE under a missing-at-random assumption (m = 30 imputations, 10 iterations, seed = 2026 [31,32]); diagnostics are in Tables S5–S6 and Figure S1. Coefficients were pooled via Rubin’s rules [33,37].</w:t>
      </w:r>
    </w:p>
    <w:p>
      <w:pPr>
        <w:pStyle w:val="BodyText"/>
      </w:pPr>
      <w:r>
        <w:rPr>
          <w:iCs/>
          <w:i/>
        </w:rPr>
        <w:t xml:space="preserve">Primary multilevel models.</w:t>
      </w:r>
      <w:r>
        <w:t xml:space="preserve"> </w:t>
      </w:r>
      <w:r>
        <w:t xml:space="preserve">Each z-standardised DASS-21 subscale was modelled as a function of the five worry sub-domains, adjusting for Block 1, Block 2, and country. Linear mixed-effects models with a random intercept for site were fitted on each imputed dataset and pooled via Rubin’s rules [34–36]. Each worry coefficient represents the associated difference in z-scored outcome per one-unit increase in the raw worry sub-domain score. Because k = 13 clusters falls below Maas–Hox thresholds [38], only fixed effects are interpreted and cross-level interactions are flagged as preliminary (Supplementary Note S1). To quantify incremental variance, we fitted nested models from M0 (country + site) through M1 (+ Block 1) and M2 (+ Block 2) to the primary M3 (+ five worry sub-domains); the block ordering is for variance-partitioning purposes and does not imply causal sequence. Marginal R² [40] was averaged across imputations [41]; Cohen’s f² is in Table S8. Benjamini–Hochberg FDR correction [42] was applied across the 15 pre-specified worry × outcome tests. Multicollinearity and residual diagnostics are in Table S7 and Figure S2.</w:t>
      </w:r>
    </w:p>
    <w:p>
      <w:pPr>
        <w:pStyle w:val="BodyText"/>
      </w:pPr>
      <w:r>
        <w:rPr>
          <w:iCs/>
          <w:i/>
        </w:rPr>
        <w:t xml:space="preserve">Supplementary, exploratory, and sensitivity analyses.</w:t>
      </w:r>
      <w:r>
        <w:t xml:space="preserve"> </w:t>
      </w:r>
      <w:r>
        <w:t xml:space="preserve">M3 was re-estimated separately by country (complete-case n = 892; within-country k = 3/6/4). Five pre-specified mediation pathways linking distal exposures to DASS-21 outcomes through worry sub-domains were examined using the Schomaker–Heumann [44] bootstrap-after-imputation framework (Rubin-pooled; Table S9); cross-sectional mediation is a decomposition of covariation, not a causal estimate [43]. An exploratory SEM encountered identification issues in both specifications (Table S10; Supplementary Note S2). Four exploratory moderation families were tested: community-support × worry (15 tests); stigma contextual decomposition (within- vs between-site [45]) and stigma × HCW interaction; worry × location type (45 tests); and gender × worry and age × worry (30 tests; Table S11). Five pre-specified sensitivity analyses were conducted: complete-case re-estimation, aggregate worry as single predictor, multilevel logistic regression for binary DASS caseness (Table S12), CR2 cluster-robust SEs [39], and exclusion of two potentially criterion-contaminated items. Post-hoc diagnostics (MI congeniality, attenuation correction, leave-one-site-out, Harman’s CMV test, age spline, 14-site inclusion) are in Tables S6, S13–S17. No a priori power calculation was performed; post-hoc minimum-detectable-effect analysis is in the Table 4 notes. The analysis scripts, imputation specification, and variable codebook are available at https://github.com/ChaokunHong/pathways-worry-distress-lmic (archived at https://doi.org/10.5281/zenodo.19631187).</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2026-04-18T06:06:00Z</dcterms:created>
  <dcterms:modified xsi:type="dcterms:W3CDTF">2026-04-18T06:06:00Z</dcterms:modified>
</cp:coreProperties>
</file>

<file path=docProps/custom.xml><?xml version="1.0" encoding="utf-8"?>
<Properties xmlns="http://schemas.openxmlformats.org/officeDocument/2006/custom-properties" xmlns:vt="http://schemas.openxmlformats.org/officeDocument/2006/docPropsVTypes"/>
</file>