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results"/>
    <w:p>
      <w:pPr>
        <w:pStyle w:val="Heading1"/>
      </w:pPr>
      <w:r>
        <w:t xml:space="preserve">Results</w:t>
      </w:r>
    </w:p>
    <w:bookmarkStart w:id="20" w:name="sample"/>
    <w:p>
      <w:pPr>
        <w:pStyle w:val="Heading2"/>
      </w:pPr>
      <w:r>
        <w:t xml:space="preserve">3.1 Sample</w:t>
      </w:r>
    </w:p>
    <w:p>
      <w:pPr>
        <w:pStyle w:val="FirstParagraph"/>
      </w:pPr>
      <w:r>
        <w:t xml:space="preserve">Of 1,462 adults retained for primary analysis, 607 (41.5%) were enrolled in Indonesia, 460 (31.5%) in Nepal, and 395 (27.0%) in Vietnam (Table 1). The analytic sample was middle-aged (overall mean 38 years, SD 12) and predominantly female (59.3%), with younger and more female-skewed composition in Vietnam (mean 35 years; 70% female) than in Indonesia or Nepal (both mean 39 years; 62% and 48% female, respectively). Self-identified ethnic-minority membership was common in Indonesia (77%) and Nepal (76%) but uncommon in Vietnam (23%), reflecting the purposive sampling of minority-concentrated sites in the two former settings. Country distributions differed across age, gender, ethnicity, education, employment, self-rated health, comorbidity count, perceived health threat, self-assessed infection risk, and health-system trust (Table 1; Kruskal–Wallis and χ²</w:t>
      </w:r>
      <w:r>
        <w:t xml:space="preserve"> </w:t>
      </w:r>
      <w:r>
        <w:rPr>
          <w:iCs/>
          <w:i/>
        </w:rPr>
        <w:t xml:space="preserve">p</w:t>
      </w:r>
      <w:r>
        <w:t xml:space="preserve"> </w:t>
      </w:r>
      <w:r>
        <w:t xml:space="preserve">&lt; 0.001 for each), whereas household livelihood disruption did not differ across countries (Kruskal–Wallis</w:t>
      </w:r>
      <w:r>
        <w:t xml:space="preserve"> </w:t>
      </w:r>
      <w:r>
        <w:rPr>
          <w:iCs/>
          <w:i/>
        </w:rPr>
        <w:t xml:space="preserve">p</w:t>
      </w:r>
      <w:r>
        <w:t xml:space="preserve"> </w:t>
      </w:r>
      <w:r>
        <w:t xml:space="preserve">= 0.43). Unadjusted DASS-21 mean scores (DASS-42-equivalent metric after ×2 prorating; §2.2) were 3.7 (SD 5.6) for depression, 3.6 (5.0) for anxiety, and 5.4 (6.3) for stress; Nepalese respondents scored slightly higher and Vietnamese respondents slightly lower on all three subscales. Covariate missingness was non-trivial (Table S5) and was addressed by multiple imputation (</w:t>
      </w:r>
      <w:r>
        <w:rPr>
          <w:iCs/>
          <w:i/>
        </w:rPr>
        <w:t xml:space="preserve">m</w:t>
      </w:r>
      <w:r>
        <w:t xml:space="preserve"> </w:t>
      </w:r>
      <w:r>
        <w:t xml:space="preserve">= 30); imputation diagnostics and congeniality checks are in Table S6 and Figure S1.</w:t>
      </w:r>
    </w:p>
    <w:bookmarkEnd w:id="20"/>
    <w:bookmarkStart w:id="21" w:name="X9e5956f847aaa93fd139818cf50b734f7af19c3"/>
    <w:p>
      <w:pPr>
        <w:pStyle w:val="Heading2"/>
      </w:pPr>
      <w:r>
        <w:t xml:space="preserve">3.2 Psychometric properties and measurement invariance</w:t>
      </w:r>
    </w:p>
    <w:p>
      <w:pPr>
        <w:pStyle w:val="FirstParagraph"/>
      </w:pPr>
      <w:r>
        <w:rPr>
          <w:iCs/>
          <w:i/>
        </w:rPr>
        <w:t xml:space="preserve">Reliability.</w:t>
      </w:r>
      <w:r>
        <w:t xml:space="preserve"> </w:t>
      </w:r>
      <w:r>
        <w:t xml:space="preserve">Internal consistency was acceptable to good for all primary scales (Table 2). For the DASS-21 subscales, Cronbach’s α was 0.87 for depression, 0.81 for anxiety, and 0.86 for stress, with McDonald’s ω total of 0.87, 0.82, and 0.87. Among the five worry sub-domains, α ranged from 0.68 (social disruption; 4 items) to 0.87 (health fears); ω total ranged from 0.69 to 0.88. The full 21-item worry inventory showed α = 0.92.</w:t>
      </w:r>
    </w:p>
    <w:p>
      <w:pPr>
        <w:pStyle w:val="BodyText"/>
      </w:pPr>
      <w:r>
        <w:rPr>
          <w:iCs/>
          <w:i/>
        </w:rPr>
        <w:t xml:space="preserve">Factor structure and invariance.</w:t>
      </w:r>
      <w:r>
        <w:t xml:space="preserve"> </w:t>
      </w:r>
      <w:r>
        <w:t xml:space="preserve">The five-factor worry solution was supported by split-sample exploratory and confirmatory factor analysis (hold-out CFA: CFI = 0.990, TLI = 0.988, RMSEA = 0.068, SRMR = 0.076; Table S2). Multi-group CFA across Indonesia, Nepal, and Vietnam supported metric invariance for both the DASS-21 (ΔCFI = −0.007 vs. configural) and the worry inventory (ΔCFI = −0.005; Tables S3–S4). Full scalar invariance was not supported (ΔCFI = −0.031 for both instruments relative to metric), but</w:t>
      </w:r>
      <w:r>
        <w:t xml:space="preserve"> </w:t>
      </w:r>
      <w:r>
        <w:rPr>
          <w:bCs/>
          <w:b/>
        </w:rPr>
        <w:t xml:space="preserve">partial scalar invariance with four of 21 intercepts freed</w:t>
      </w:r>
      <w:r>
        <w:t xml:space="preserve"> </w:t>
      </w:r>
      <w:r>
        <w:t xml:space="preserve">was supported for both (ΔCFI = −0.008 for the DASS-21 and −0.010 for the worry inventory; Tables S3–S4). This permits comparison of slopes and their ordering across countries while precluding direct comparison of latent means. Country-level comparisons of</w:t>
      </w:r>
      <w:r>
        <w:t xml:space="preserve"> </w:t>
      </w:r>
      <w:r>
        <w:rPr>
          <w:iCs/>
          <w:i/>
        </w:rPr>
        <w:t xml:space="preserve">levels</w:t>
      </w:r>
      <w:r>
        <w:t xml:space="preserve"> </w:t>
      </w:r>
      <w:r>
        <w:t xml:space="preserve">are therefore treated as descriptive only; within-country slope estimates remain interpretable.</w:t>
      </w:r>
    </w:p>
    <w:bookmarkEnd w:id="21"/>
    <w:bookmarkStart w:id="22" w:name="descriptive-associations"/>
    <w:p>
      <w:pPr>
        <w:pStyle w:val="Heading2"/>
      </w:pPr>
      <w:r>
        <w:t xml:space="preserve">3.3 Descriptive associations</w:t>
      </w:r>
    </w:p>
    <w:p>
      <w:pPr>
        <w:pStyle w:val="FirstParagraph"/>
      </w:pPr>
      <w:r>
        <w:t xml:space="preserve">The five worry sub-domains were moderately to strongly inter-correlated (Spearman</w:t>
      </w:r>
      <w:r>
        <w:t xml:space="preserve"> </w:t>
      </w:r>
      <w:r>
        <w:rPr>
          <w:iCs/>
          <w:i/>
        </w:rPr>
        <w:t xml:space="preserve">r</w:t>
      </w:r>
      <w:r>
        <w:t xml:space="preserve"> </w:t>
      </w:r>
      <w:r>
        <w:t xml:space="preserve">= 0.29–0.70; Table 3), with the strongest pairs being basic-needs × safety/stigma (</w:t>
      </w:r>
      <w:r>
        <w:rPr>
          <w:iCs/>
          <w:i/>
        </w:rPr>
        <w:t xml:space="preserve">r</w:t>
      </w:r>
      <w:r>
        <w:t xml:space="preserve"> </w:t>
      </w:r>
      <w:r>
        <w:t xml:space="preserve">= 0.70), economic × basic-needs (</w:t>
      </w:r>
      <w:r>
        <w:rPr>
          <w:iCs/>
          <w:i/>
        </w:rPr>
        <w:t xml:space="preserve">r</w:t>
      </w:r>
      <w:r>
        <w:t xml:space="preserve"> </w:t>
      </w:r>
      <w:r>
        <w:t xml:space="preserve">= 0.69), and health fears × safety/stigma (</w:t>
      </w:r>
      <w:r>
        <w:rPr>
          <w:iCs/>
          <w:i/>
        </w:rPr>
        <w:t xml:space="preserve">r</w:t>
      </w:r>
      <w:r>
        <w:t xml:space="preserve"> </w:t>
      </w:r>
      <w:r>
        <w:t xml:space="preserve">= 0.61). Each worry domain correlated with each DASS-21 outcome in the expected direction (</w:t>
      </w:r>
      <w:r>
        <w:rPr>
          <w:iCs/>
          <w:i/>
        </w:rPr>
        <w:t xml:space="preserve">r</w:t>
      </w:r>
      <w:r>
        <w:t xml:space="preserve"> </w:t>
      </w:r>
      <w:r>
        <w:t xml:space="preserve">= 0.27–0.37). At the bivariate level, basic-needs worry had the strongest correlation with depression (</w:t>
      </w:r>
      <w:r>
        <w:rPr>
          <w:iCs/>
          <w:i/>
        </w:rPr>
        <w:t xml:space="preserve">r</w:t>
      </w:r>
      <w:r>
        <w:t xml:space="preserve"> </w:t>
      </w:r>
      <w:r>
        <w:t xml:space="preserve">= 0.37), health fears with anxiety (</w:t>
      </w:r>
      <w:r>
        <w:rPr>
          <w:iCs/>
          <w:i/>
        </w:rPr>
        <w:t xml:space="preserve">r</w:t>
      </w:r>
      <w:r>
        <w:t xml:space="preserve"> </w:t>
      </w:r>
      <w:r>
        <w:t xml:space="preserve">= 0.37), and both health fears and economic worry with stress (</w:t>
      </w:r>
      <w:r>
        <w:rPr>
          <w:iCs/>
          <w:i/>
        </w:rPr>
        <w:t xml:space="preserve">r</w:t>
      </w:r>
      <w:r>
        <w:t xml:space="preserve"> </w:t>
      </w:r>
      <w:r>
        <w:t xml:space="preserve">≈ 0.36). Country-level distributions of worry and DASS scores are shown as violin plots in Figure 3; Nepalese respondents reported higher mean scores on health fears, economic worry, basic-needs worry, and safety/stigma than those in Indonesia or Vietnam. The five worry sub-domains differed in the extent of between-site clustering: basic-needs worry and safety/stigma were the most site-clustered (ICC = 0.43 and 0.36, respectively), whereas economic and social worries were more evenly distributed across sites (ICC = 0.13 and 0.14; Table S7). Variance-inflation factors across the full M3 covariate set remained below 3.6 (highest: basic-needs worry, VIF = 3.56; Table S7), with no pair exceeding conventional multicollinearity thresholds for linear regression.</w:t>
      </w:r>
    </w:p>
    <w:bookmarkEnd w:id="22"/>
    <w:bookmarkStart w:id="23" w:name="X7ed7bfea7be978ef41beb1f8dde04cc3d3c47ed"/>
    <w:p>
      <w:pPr>
        <w:pStyle w:val="Heading2"/>
      </w:pPr>
      <w:r>
        <w:t xml:space="preserve">3.4 Differential associations between worry sub-domains and distress</w:t>
      </w:r>
    </w:p>
    <w:p>
      <w:pPr>
        <w:pStyle w:val="FirstParagraph"/>
      </w:pPr>
      <w:r>
        <w:rPr>
          <w:iCs/>
          <w:i/>
        </w:rPr>
        <w:t xml:space="preserve">Variance explained.</w:t>
      </w:r>
      <w:r>
        <w:t xml:space="preserve"> </w:t>
      </w:r>
      <w:r>
        <w:t xml:space="preserve">Marginal R² rose from 0.005–0.010 in the intercept-only M0 to 0.234, 0.258, and 0.252 in the primary M3 for depression, anxiety, and stress, respectively (Figure 5). The five worry sub-domains were the largest single contributor to explained variance in all three outcomes (ΔR² = 0.124 for depression, 0.113 for anxiety, 0.129 for stress), exceeding the joint contribution of the seven demographic covariates in Block 1 (ΔR² = 0.068–0.076) and the four contextual covariates in Block 2 (ΔR² = 0.035–0.058).</w:t>
      </w:r>
    </w:p>
    <w:p>
      <w:pPr>
        <w:pStyle w:val="BodyText"/>
      </w:pPr>
      <w:r>
        <w:rPr>
          <w:iCs/>
          <w:i/>
        </w:rPr>
        <w:t xml:space="preserve">Differential worry signatures.</w:t>
      </w:r>
      <w:r>
        <w:t xml:space="preserve"> </w:t>
      </w:r>
      <w:r>
        <w:t xml:space="preserve">Pooled across imputations and adjusted for both covariate blocks and country (Indonesia as reference), the five worry sub-domains displayed clearly differential associations with the three DASS-21 outcomes (Figure 4A, Table 4; Benjamini–Hochberg-adjusted</w:t>
      </w:r>
      <w:r>
        <w:t xml:space="preserve"> </w:t>
      </w:r>
      <w:r>
        <w:rPr>
          <w:iCs/>
          <w:i/>
        </w:rPr>
        <w:t xml:space="preserve">p</w:t>
      </w:r>
      <w:r>
        <w:t xml:space="preserve"> </w:t>
      </w:r>
      <w:r>
        <w:t xml:space="preserve">across the 15 pre-specified worry × outcome tests). Health fears were associated with anxiety (β = 0.055, 95% CI 0.030–0.080,</w:t>
      </w:r>
      <w:r>
        <w:t xml:space="preserve"> </w:t>
      </w:r>
      <w:r>
        <w:rPr>
          <w:iCs/>
          <w:i/>
        </w:rPr>
        <w:t xml:space="preserve">p</w:t>
      </w:r>
      <w:r>
        <w:t xml:space="preserve">_adj &lt; 0.001) and stress (β = 0.030, 0.006–0.054,</w:t>
      </w:r>
      <w:r>
        <w:t xml:space="preserve"> </w:t>
      </w:r>
      <w:r>
        <w:rPr>
          <w:iCs/>
          <w:i/>
        </w:rPr>
        <w:t xml:space="preserve">p</w:t>
      </w:r>
      <w:r>
        <w:t xml:space="preserve">_adj = 0.024) but not with depression (β = −0.011, −0.035–0.014,</w:t>
      </w:r>
      <w:r>
        <w:t xml:space="preserve"> </w:t>
      </w:r>
      <w:r>
        <w:rPr>
          <w:iCs/>
          <w:i/>
        </w:rPr>
        <w:t xml:space="preserve">p</w:t>
      </w:r>
      <w:r>
        <w:t xml:space="preserve">_adj = 0.42). Economic worry was associated with depression (β = 0.028, 0.008–0.049,</w:t>
      </w:r>
      <w:r>
        <w:t xml:space="preserve"> </w:t>
      </w:r>
      <w:r>
        <w:rPr>
          <w:iCs/>
          <w:i/>
        </w:rPr>
        <w:t xml:space="preserve">p</w:t>
      </w:r>
      <w:r>
        <w:t xml:space="preserve">_adj = 0.011) and stress (β = 0.033, 0.013–0.053,</w:t>
      </w:r>
      <w:r>
        <w:t xml:space="preserve"> </w:t>
      </w:r>
      <w:r>
        <w:rPr>
          <w:iCs/>
          <w:i/>
        </w:rPr>
        <w:t xml:space="preserve">p</w:t>
      </w:r>
      <w:r>
        <w:t xml:space="preserve">_adj = 0.003) but not with anxiety (</w:t>
      </w:r>
      <w:r>
        <w:rPr>
          <w:iCs/>
          <w:i/>
        </w:rPr>
        <w:t xml:space="preserve">p</w:t>
      </w:r>
      <w:r>
        <w:t xml:space="preserve">_adj = 0.26). Basic-needs worry was associated with depression (β = 0.074, 0.035–0.113,</w:t>
      </w:r>
      <w:r>
        <w:t xml:space="preserve"> </w:t>
      </w:r>
      <w:r>
        <w:rPr>
          <w:iCs/>
          <w:i/>
        </w:rPr>
        <w:t xml:space="preserve">p</w:t>
      </w:r>
      <w:r>
        <w:t xml:space="preserve">_adj &lt; 0.001) and stress (β = 0.047, 0.008–0.086,</w:t>
      </w:r>
      <w:r>
        <w:t xml:space="preserve"> </w:t>
      </w:r>
      <w:r>
        <w:rPr>
          <w:iCs/>
          <w:i/>
        </w:rPr>
        <w:t xml:space="preserve">p</w:t>
      </w:r>
      <w:r>
        <w:t xml:space="preserve">_adj = 0.026) but did not reach significance for anxiety after adjustment (β = 0.037,</w:t>
      </w:r>
      <w:r>
        <w:t xml:space="preserve"> </w:t>
      </w:r>
      <w:r>
        <w:rPr>
          <w:iCs/>
          <w:i/>
        </w:rPr>
        <w:t xml:space="preserve">p</w:t>
      </w:r>
      <w:r>
        <w:t xml:space="preserve">_adj = 0.085). Social disruption was associated with all three outcomes (depression β = 0.051, 0.028–0.074,</w:t>
      </w:r>
      <w:r>
        <w:t xml:space="preserve"> </w:t>
      </w:r>
      <w:r>
        <w:rPr>
          <w:iCs/>
          <w:i/>
        </w:rPr>
        <w:t xml:space="preserve">p</w:t>
      </w:r>
      <w:r>
        <w:t xml:space="preserve">_adj &lt; 0.001; anxiety β = 0.043, 0.019–0.066,</w:t>
      </w:r>
      <w:r>
        <w:t xml:space="preserve"> </w:t>
      </w:r>
      <w:r>
        <w:rPr>
          <w:iCs/>
          <w:i/>
        </w:rPr>
        <w:t xml:space="preserve">p</w:t>
      </w:r>
      <w:r>
        <w:t xml:space="preserve">_adj = 0.001; stress β = 0.068, 0.045–0.091,</w:t>
      </w:r>
      <w:r>
        <w:t xml:space="preserve"> </w:t>
      </w:r>
      <w:r>
        <w:rPr>
          <w:iCs/>
          <w:i/>
        </w:rPr>
        <w:t xml:space="preserve">p</w:t>
      </w:r>
      <w:r>
        <w:t xml:space="preserve">_adj &lt; 0.001). Safety/stigma was associated with depression (β = 0.091, 0.035–0.146,</w:t>
      </w:r>
      <w:r>
        <w:t xml:space="preserve"> </w:t>
      </w:r>
      <w:r>
        <w:rPr>
          <w:iCs/>
          <w:i/>
        </w:rPr>
        <w:t xml:space="preserve">p</w:t>
      </w:r>
      <w:r>
        <w:t xml:space="preserve">_adj = 0.003) and anxiety (β = 0.075, 0.020–0.130,</w:t>
      </w:r>
      <w:r>
        <w:t xml:space="preserve"> </w:t>
      </w:r>
      <w:r>
        <w:rPr>
          <w:iCs/>
          <w:i/>
        </w:rPr>
        <w:t xml:space="preserve">p</w:t>
      </w:r>
      <w:r>
        <w:t xml:space="preserve">_adj = 0.013) but not with stress (β = 0.021,</w:t>
      </w:r>
      <w:r>
        <w:t xml:space="preserve"> </w:t>
      </w:r>
      <w:r>
        <w:rPr>
          <w:iCs/>
          <w:i/>
        </w:rPr>
        <w:t xml:space="preserve">p</w:t>
      </w:r>
      <w:r>
        <w:t xml:space="preserve">_adj = 0.44).</w:t>
      </w:r>
    </w:p>
    <w:p>
      <w:pPr>
        <w:pStyle w:val="BodyText"/>
      </w:pPr>
      <w:r>
        <w:t xml:space="preserve">Taken together, the pattern of associations is consistent with the differentiated-response hypothesis motivating §1, and we describe it here as</w:t>
      </w:r>
      <w:r>
        <w:t xml:space="preserve"> </w:t>
      </w:r>
      <w:r>
        <w:rPr>
          <w:bCs/>
          <w:b/>
        </w:rPr>
        <w:t xml:space="preserve">selective pathway specificity</w:t>
      </w:r>
      <w:r>
        <w:t xml:space="preserve">: each symptom dimension was associated with a distinct subset of worry sub-domains rather than with worry as a whole. Eleven of the 15 pre-specified worry × outcome tests survived BH-FDR adjustment. Four of the five worry sub-domains showed a selective pattern — each associated with only two of the three outcomes: health fears were associated with threat-related symptoms (anxiety, stress); material worries (economic, basic needs) with mood-related symptoms (depression, stress); and safety/stigma with mood and anxiety symptoms. Social disruption was the single exception, showing associations with all three outcomes. The pairwise ordering of β across sub-domains was not formally tested for heterogeneity; specificity should be read as a qualitative pattern observed across the pre-specified tests after BH-FDR, rather than as a tested effect-size contrast.</w:t>
      </w:r>
    </w:p>
    <w:p>
      <w:pPr>
        <w:pStyle w:val="BodyText"/>
      </w:pPr>
      <w:r>
        <w:rPr>
          <w:iCs/>
          <w:i/>
        </w:rPr>
        <w:t xml:space="preserve">Covariate findings.</w:t>
      </w:r>
      <w:r>
        <w:t xml:space="preserve"> </w:t>
      </w:r>
      <w:r>
        <w:t xml:space="preserve">Across all three outcomes, age (β ≈ −0.010 to −0.012 per year), higher comorbidity count (β ≈ 0.23–0.25 per condition), poorer self-rated general health (β ≈ −0.13 to −0.18), and higher perceived health threat (β ≈ 0.012 to 0.019) were independently associated with greater distress (all</w:t>
      </w:r>
      <w:r>
        <w:t xml:space="preserve"> </w:t>
      </w:r>
      <w:r>
        <w:rPr>
          <w:iCs/>
          <w:i/>
        </w:rPr>
        <w:t xml:space="preserve">p</w:t>
      </w:r>
      <w:r>
        <w:t xml:space="preserve"> </w:t>
      </w:r>
      <w:r>
        <w:t xml:space="preserve">&lt; 0.01; see Figure 4B for point estimates and 95% CIs). Female respondents scored higher on stress only (β = 0.15,</w:t>
      </w:r>
      <w:r>
        <w:t xml:space="preserve"> </w:t>
      </w:r>
      <w:r>
        <w:rPr>
          <w:iCs/>
          <w:i/>
        </w:rPr>
        <w:t xml:space="preserve">p</w:t>
      </w:r>
      <w:r>
        <w:t xml:space="preserve"> </w:t>
      </w:r>
      <w:r>
        <w:t xml:space="preserve">= 0.003); students (</w:t>
      </w:r>
      <w:r>
        <w:rPr>
          <w:iCs/>
          <w:i/>
        </w:rPr>
        <w:t xml:space="preserve">n</w:t>
      </w:r>
      <w:r>
        <w:t xml:space="preserve"> </w:t>
      </w:r>
      <w:r>
        <w:t xml:space="preserve">= 53; 3.9% of the analytic sample) scored higher on depression than full-time workers (β = 0.39,</w:t>
      </w:r>
      <w:r>
        <w:t xml:space="preserve"> </w:t>
      </w:r>
      <w:r>
        <w:rPr>
          <w:iCs/>
          <w:i/>
        </w:rPr>
        <w:t xml:space="preserve">p</w:t>
      </w:r>
      <w:r>
        <w:t xml:space="preserve"> </w:t>
      </w:r>
      <w:r>
        <w:t xml:space="preserve">= 0.002); lower health-system trust was associated with greater stress (β = −0.036,</w:t>
      </w:r>
      <w:r>
        <w:t xml:space="preserve"> </w:t>
      </w:r>
      <w:r>
        <w:rPr>
          <w:iCs/>
          <w:i/>
        </w:rPr>
        <w:t xml:space="preserve">p</w:t>
      </w:r>
      <w:r>
        <w:t xml:space="preserve"> </w:t>
      </w:r>
      <w:r>
        <w:t xml:space="preserve">= 0.014); and self-assessed infection risk was associated with stress only (β = 0.08,</w:t>
      </w:r>
      <w:r>
        <w:t xml:space="preserve"> </w:t>
      </w:r>
      <w:r>
        <w:rPr>
          <w:iCs/>
          <w:i/>
        </w:rPr>
        <w:t xml:space="preserve">p</w:t>
      </w:r>
      <w:r>
        <w:t xml:space="preserve"> </w:t>
      </w:r>
      <w:r>
        <w:t xml:space="preserve">= 0.03). Covariate</w:t>
      </w:r>
      <w:r>
        <w:t xml:space="preserve"> </w:t>
      </w:r>
      <w:r>
        <w:rPr>
          <w:iCs/>
          <w:i/>
        </w:rPr>
        <w:t xml:space="preserve">p</w:t>
      </w:r>
      <w:r>
        <w:t xml:space="preserve"> </w:t>
      </w:r>
      <w:r>
        <w:t xml:space="preserve">values are raw (uncorrected), as covariate coefficients lie outside the pre-specified 15-test worry × outcome family; selective single-outcome associations (female, student, health trust, self-assessed risk) should therefore be read as adjustment quantities rather than as confirmatory findings. Country main effects were modest after adjustment: relative to Indonesia, Nepalese and Vietnamese respondents had lower adjusted anxiety (</w:t>
      </w:r>
      <w:r>
        <w:rPr>
          <w:iCs/>
          <w:i/>
        </w:rPr>
        <w:t xml:space="preserve">p</w:t>
      </w:r>
      <w:r>
        <w:t xml:space="preserve"> </w:t>
      </w:r>
      <w:r>
        <w:t xml:space="preserve">≤ 0.004), with no adjusted country differences for depression or stress. Household livelihood disruption showed no residual direct association with any DASS outcome once worry sub-domains were in the model, pointing to §3.5 for the decomposition of this covariation through worry.</w:t>
      </w:r>
    </w:p>
    <w:bookmarkEnd w:id="23"/>
    <w:bookmarkStart w:id="24" w:name="mediation-decomposition-of-covariation"/>
    <w:p>
      <w:pPr>
        <w:pStyle w:val="Heading2"/>
      </w:pPr>
      <w:r>
        <w:t xml:space="preserve">3.5 Mediation: decomposition of covariation</w:t>
      </w:r>
    </w:p>
    <w:p>
      <w:pPr>
        <w:pStyle w:val="FirstParagraph"/>
      </w:pPr>
      <w:r>
        <w:t xml:space="preserve">All five pre-specified mediation pathways produced Rubin-pooled indirect effects with 95% confidence intervals excluding zero (Table S9; Figure 6). Household livelihood disruption covaried with depression through economic worry (indirect β = 0.033, 95% CI 0.022–0.045; 67% of the total association transmitted through this single pathway) and through basic-needs worry (β = 0.025, 0.016–0.035; 52%). Perceived health threat covaried with anxiety and stress through health fears (anxiety: β = 0.015, 0.010–0.021, 44%; stress: β = 0.015, 0.010–0.020, 49%) and with depression through safety/stigma (β = 0.009, 0.005–0.013, 37%). In the joint M3 model containing all five worry sub-domains, livelihood disruption no longer carried a significant direct coefficient on any DASS outcome (§3.4;</w:t>
      </w:r>
      <w:r>
        <w:t xml:space="preserve"> </w:t>
      </w:r>
      <w:r>
        <w:rPr>
          <w:iCs/>
          <w:i/>
        </w:rPr>
        <w:t xml:space="preserve">p</w:t>
      </w:r>
      <w:r>
        <w:t xml:space="preserve"> </w:t>
      </w:r>
      <w:r>
        <w:t xml:space="preserve">&gt; 0.08 in all three outcomes), consistent with covariation being accommodated by the worry block as a whole; the single-mediator Schomaker–Heumann decompositions here nonetheless show a nominally significant ADE for the livelihood → basic-needs → depression path (ADE = 0.024, 95% CI 0.004–0.043; Table S9), indicating that the absorption interpretation is specific to the joint-model specification rather than an invariant property. Perceived health threat, by contrast, retained direct associations with all three outcomes in M3 (§3.4), with the mediation pathways through health fears (anxiety, stress) and safety/stigma (depression) accounting for 37–49% of the total association. Taken together, this pattern is consistent with the Stress Process Model expectation that distal structural exposures reach psychological outcomes in part through the specific worries they proliferate into, with the relative degree of proliferation varying by exposure type. Complete-case bootstrap results (Table 5) were directionally consistent with the Rubin-pooled estimates, albeit with wider intervals. Given the cross-sectional design, these coefficients should be interpreted as a decomposition of observed covariation under a hypothesised direction, not as causal estimates [43]. A structural-equation specification of the same measurement–structural model yielded improper solutions in both configurations (negative residual variance for at least one indicator; Supplementary Note S2, Table S10); the global fit indices produced under these configurations (CFI ≥ 0.997) therefore cannot be interpreted in the usual way. The coefficient signs were nonetheless consistent in direction with the regression-based estimates, and the SEM is reported as a directional convergence check only, not as an independent inferential test.</w:t>
      </w:r>
    </w:p>
    <w:bookmarkEnd w:id="24"/>
    <w:bookmarkStart w:id="25" w:name="country-stratified-estimates"/>
    <w:p>
      <w:pPr>
        <w:pStyle w:val="Heading2"/>
      </w:pPr>
      <w:r>
        <w:t xml:space="preserve">3.6 Country-stratified estimates</w:t>
      </w:r>
    </w:p>
    <w:p>
      <w:pPr>
        <w:pStyle w:val="FirstParagraph"/>
      </w:pPr>
      <w:r>
        <w:t xml:space="preserve">Country-stratified multilevel estimates (Table 6, Figure 7) are presented descriptively because each within-country cluster count (Indonesia</w:t>
      </w:r>
      <w:r>
        <w:t xml:space="preserve"> </w:t>
      </w:r>
      <w:r>
        <w:rPr>
          <w:iCs/>
          <w:i/>
        </w:rPr>
        <w:t xml:space="preserve">k</w:t>
      </w:r>
      <w:r>
        <w:t xml:space="preserve"> </w:t>
      </w:r>
      <w:r>
        <w:t xml:space="preserve">= 3, Nepal</w:t>
      </w:r>
      <w:r>
        <w:t xml:space="preserve"> </w:t>
      </w:r>
      <w:r>
        <w:rPr>
          <w:iCs/>
          <w:i/>
        </w:rPr>
        <w:t xml:space="preserve">k</w:t>
      </w:r>
      <w:r>
        <w:t xml:space="preserve"> </w:t>
      </w:r>
      <w:r>
        <w:t xml:space="preserve">= 6, Vietnam</w:t>
      </w:r>
      <w:r>
        <w:t xml:space="preserve"> </w:t>
      </w:r>
      <w:r>
        <w:rPr>
          <w:iCs/>
          <w:i/>
        </w:rPr>
        <w:t xml:space="preserve">k</w:t>
      </w:r>
      <w:r>
        <w:t xml:space="preserve"> </w:t>
      </w:r>
      <w:r>
        <w:t xml:space="preserve">= 4) is below the Maas–Hox threshold for reliable variance-component estimation (Note S1), and because the non-support for full scalar invariance (§3.2) precludes inferential level comparisons; asterisks in Figure 7 denote fixed-effect</w:t>
      </w:r>
      <w:r>
        <w:t xml:space="preserve"> </w:t>
      </w:r>
      <w:r>
        <w:rPr>
          <w:iCs/>
          <w:i/>
        </w:rPr>
        <w:t xml:space="preserve">p</w:t>
      </w:r>
      <w:r>
        <w:t xml:space="preserve"> </w:t>
      </w:r>
      <w:r>
        <w:t xml:space="preserve">&lt; 0.05, between-site variance components are not interpreted, and no multiple-comparison correction is applied across the 45 country × worry × outcome cells. Within these descriptive caveats, the pooled signature of §3.4 was not uniform across sites. In Indonesia, the largest within-country coefficients were for safety/stigma across all three outcomes (β = 0.320–0.558), whereas economic and health-fear coefficients were near zero. In Nepal, economic worry carried the most consistent coefficients across outcomes (β = 0.040–0.074), and safety/stigma remained associated with depression. In Vietnam, social disruption carried the largest coefficients across outcomes (β = 0.055–0.104, significant for depression and stress but not anxiety), while health fears carried a sign opposite to the pooled estimate in both Nepal (for depression) and Vietnam (for all three outcomes). These country-specific deviations should be treated as hypothesis-generating given the small within-country</w:t>
      </w:r>
      <w:r>
        <w:t xml:space="preserve"> </w:t>
      </w:r>
      <w:r>
        <w:rPr>
          <w:iCs/>
          <w:i/>
        </w:rPr>
        <w:t xml:space="preserve">k</w:t>
      </w:r>
      <w:r>
        <w:t xml:space="preserve">, the descriptive status of scalar-level comparisons, and the potential for multicollinearity-driven sign shifts among correlated worry sub-domains.</w:t>
      </w:r>
    </w:p>
    <w:bookmarkEnd w:id="25"/>
    <w:bookmarkStart w:id="26" w:name="sensitivity-and-exploratory-analyses"/>
    <w:p>
      <w:pPr>
        <w:pStyle w:val="Heading2"/>
      </w:pPr>
      <w:r>
        <w:t xml:space="preserve">3.7 Sensitivity and exploratory analyses</w:t>
      </w:r>
    </w:p>
    <w:p>
      <w:pPr>
        <w:pStyle w:val="FirstParagraph"/>
      </w:pPr>
      <w:r>
        <w:t xml:space="preserve">Five pre-specified sensitivity analyses gave results directionally consistent with the primary model: complete-case re-estimation (</w:t>
      </w:r>
      <w:r>
        <w:rPr>
          <w:iCs/>
          <w:i/>
        </w:rPr>
        <w:t xml:space="preserve">n</w:t>
      </w:r>
      <w:r>
        <w:t xml:space="preserve"> </w:t>
      </w:r>
      <w:r>
        <w:t xml:space="preserve">= 892), aggregate-worry single predictor, multilevel logistic regression for binary DASS caseness (Table S12), CR2 cluster-robust standard errors, and exclusion of two potentially criterion-contaminated items. Post-hoc diagnostics further confirmed the stability of the headline pattern: MI congeniality comparison (Table S6), attenuation-corrected estimates (Table S13), leave-one-site-out forest (Table S14, Figure S5), Harman’s single-factor test (Table S15; first factor variance &lt; 50%), age-spline re-estimation (Table S16), and the 14-site inclusion (Table S17) each reproduced the primary ordering of worry × outcome associations. Among exploratory moderation families (Table S11), community-support × worry and worry × location-type simple slopes (Figures S3–S4) produced scattered single-panel effects that did not survive family-wise adjustment; the stigma × healthcare-worker-in-household and gender × worry / age × worry families likewise produced no robust interactions. These exploratory tests are reported for transparency and do not modify the primary findings.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2026-04-18T05:30:02Z</dcterms:created>
  <dcterms:modified xsi:type="dcterms:W3CDTF">2026-04-18T05:30:02Z</dcterms:modified>
</cp:coreProperties>
</file>

<file path=docProps/custom.xml><?xml version="1.0" encoding="utf-8"?>
<Properties xmlns="http://schemas.openxmlformats.org/officeDocument/2006/custom-properties" xmlns:vt="http://schemas.openxmlformats.org/officeDocument/2006/docPropsVTypes"/>
</file>