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iscussion"/>
    <w:p>
      <w:pPr>
        <w:pStyle w:val="Heading1"/>
      </w:pPr>
      <w:r>
        <w:t xml:space="preserve">Discussion</w:t>
      </w:r>
    </w:p>
    <w:bookmarkStart w:id="20" w:name="principal-findings"/>
    <w:p>
      <w:pPr>
        <w:pStyle w:val="Heading2"/>
      </w:pPr>
      <w:r>
        <w:t xml:space="preserve">4.1 Principal findings</w:t>
      </w:r>
    </w:p>
    <w:p>
      <w:pPr>
        <w:pStyle w:val="FirstParagraph"/>
      </w:pPr>
      <w:r>
        <w:t xml:space="preserve">Decomposing a previously unidimensional 21-item worry inventory into five sub-domains revealed distinctly differential associations with depression, anxiety, and stress. Eleven of the 15 pre-specified worry × outcome associations survived Benjamini–Hochberg adjustment, and four of the five sub-domains were associated with only two of the three distress dimensions, producing a descriptive pattern across the pre-specified tests that we term</w:t>
      </w:r>
      <w:r>
        <w:t xml:space="preserve"> </w:t>
      </w:r>
      <w:r>
        <w:rPr>
          <w:bCs/>
          <w:b/>
        </w:rPr>
        <w:t xml:space="preserve">selective pathway specificity</w:t>
      </w:r>
      <w:r>
        <w:t xml:space="preserve"> </w:t>
      </w:r>
      <w:r>
        <w:t xml:space="preserve">(not itself a tested effect-size contrast): material worries (economic, basic-needs) were associated with mood-related symptoms (depression, stress); health fears with threat-related symptoms (anxiety, stress); safety/stigma with mood and anxiety; and only social disruption was associated with all three. Two features extend this headline finding. First, the five-worry block was the single largest contributor to explained variance in each outcome, with ΔR² = 0.113–0.129 — larger than the seven demographic covariates in Block 1 (ΔR² = 0.068–0.076) and larger than the four contextual covariates in Block 2 (ΔR² = 0.035–0.058), and comparable in magnitude to the two covariate blocks combined. This indicates that the domain-level content of worry — and not only well-documented structural risk markers — carries substantive explanatory weight. Second, the two worry sub-domains with the highest between-site clustering (basic-needs worry, ICC = 0.43; safety/stigma, ICC = 0.36) were also the two largest predictors of depression, indicating that the depressive signal is most tightly coupled with stressors whose distribution is itself most patterned by community context. These findings imply that aggregate approaches to crisis-related worry both under-specify the psychological signature of distress and under-represent the structural layer that patterns where its burden concentrates.</w:t>
      </w:r>
    </w:p>
    <w:bookmarkEnd w:id="20"/>
    <w:bookmarkStart w:id="21" w:name="X35cc8190ae0f262b4f80250a82a26c9946f6fa1"/>
    <w:p>
      <w:pPr>
        <w:pStyle w:val="Heading2"/>
      </w:pPr>
      <w:r>
        <w:t xml:space="preserve">4.2 Aggregate worry scores obscure a structured pattern</w:t>
      </w:r>
    </w:p>
    <w:p>
      <w:pPr>
        <w:pStyle w:val="FirstParagraph"/>
      </w:pPr>
      <w:r>
        <w:t xml:space="preserve">The Introduction noted that DASS-21 studies have repeatedly reported cross-subscale heterogeneity in predictor effects without treating the heterogeneity itself as a substantive finding [10–12], and that multi-item worry inventories have conventionally been aggregated into a single composite [15]. The present data allow the empirical question behind these observations to be answered directly. In our aggregate-worry sensitivity analysis (§3.7), a single summed worry score reproduced the overall direction of association with all three DASS-21 outcomes but collapsed the differential signature: the information that basic-needs worry is specifically associated with depression but not with anxiety after adjustment, and that health fears show the opposite pattern, is only available after decomposition. This empirical contrast — same sample, same outcomes, same covariates, structurally different conclusions depending on whether the exposure is aggregated — is, to our reading, the strongest evidence in the study that aggregate scoring discards information that is both theoretically and practically meaningful. Read together with the cross-subscale heterogeneity repeatedly reported in the wider literature [2,13,59,60], our findings suggest that this heterogeneity is neither incidental nor artefactual: once the exposure side is itself decomposed, a structured mapping between types of stressor and dimensions of distress becomes visible. At a moment when global mental health research is moving towards demand-side assessment and more precisely targeted intervention, this has methodological implications for how secondary analyses of large crisis-period datasets are designed and what they are capable of detecting.</w:t>
      </w:r>
    </w:p>
    <w:bookmarkEnd w:id="21"/>
    <w:bookmarkStart w:id="22" w:name="Xf69cddd291d998777ec4df9aba54fa4f21214d7"/>
    <w:p>
      <w:pPr>
        <w:pStyle w:val="Heading2"/>
      </w:pPr>
      <w:r>
        <w:t xml:space="preserve">4.3 Stressor proliferation is not symptom-uniform</w:t>
      </w:r>
    </w:p>
    <w:p>
      <w:pPr>
        <w:pStyle w:val="FirstParagraph"/>
      </w:pPr>
      <w:r>
        <w:t xml:space="preserve">These findings extend the Stress Process Model [16–18] in a specific direction. Pearlin and colleagues’ concept of stressor proliferation — that an initial stressor cascades into secondary concerns across economic, social, and symbolic domains — predicts that a public-health shock would generate a broad spectrum of worries. Our data are consistent with this expectation: the five worry sub-domains were moderately to strongly inter-correlated (</w:t>
      </w:r>
      <w:r>
        <w:rPr>
          <w:iCs/>
          <w:i/>
        </w:rPr>
        <w:t xml:space="preserve">r</w:t>
      </w:r>
      <w:r>
        <w:t xml:space="preserve"> </w:t>
      </w:r>
      <w:r>
        <w:t xml:space="preserve">= 0.29–0.70), and two distal exposures (perceived health threat, household livelihood disruption) covaried with distress partly through these specific worry channels (§3.5). What the proliferation account alone does not predict is that the proliferated stressors would map onto distress dimensions in a structured, non-uniform way. The selective specificity we observe suggests a refinement: proliferation is not symptom-uniform in its psychological signature. Different components of the proliferated bundle — material, interpersonal, symbolic — appear to resonate with different aspects of negative affect, broadly consistent with the tripartite model’s separation of low positive affect (specific to depression), physiological hyperarousal (specific to anxiety), and generalised tension [9].</w:t>
      </w:r>
    </w:p>
    <w:p>
      <w:pPr>
        <w:pStyle w:val="BodyText"/>
      </w:pPr>
      <w:r>
        <w:t xml:space="preserve">Conservation of Resources theory [19,20] offers a complementary interpretive frame. If threats to different resource classes generate qualitatively distinct psychological signatures, one would expect basic-needs and economic worries — both direct threats to material resources — to track depressive symptoms, which involve loss of positive affect and motivation; one would expect health fears, anchored in anticipated physical threat, to track anxiety symptoms, which involve hyperarousal; and one would expect safety/stigma concerns, which threaten moral standing and social status [46,47], to track both mood and anxiety symptoms but not the more reality-anchored tension captured by the stress subscale. Each of these expectations is broadly consistent with the observed pattern, though the ordering of effect sizes across sub-domains was not formally tested and should not be read as a confirmed effect-size contrast.</w:t>
      </w:r>
    </w:p>
    <w:p>
      <w:pPr>
        <w:pStyle w:val="BodyText"/>
      </w:pPr>
      <w:r>
        <w:t xml:space="preserve">Our findings sit alongside a substantial empirical literature on specific pathways that has developed in parallel but rarely been integrated. The association we observe between material worries and depression is consistent with Jones’s 149-country analysis linking food insecurity to depression in a dose-response fashion [49], with Guan and colleagues’ systematic review of 40 studies identifying financial stress as one of the most reproducible correlates of depressive symptoms [58], and with Ridley and colleagues’ review of natural-experiment evidence that negative income shocks worsen depression and anxiety [48]. The association between stigma worries and both depression and anxiety is consistent with Link and Phelan’s formulation of stigma as a process producing status loss and social exclusion [46], and with Yang and colleagues’ extension that locates its psychological impact in the threat to what locally matters most [47]. These converging pathway-specific literatures, however, have largely been read in isolation from one another. The value-added of the present decomposition is that it places these separate pathway accounts within a single analytic frame — one in which the differential associations are no longer surprising, but expected.</w:t>
      </w:r>
    </w:p>
    <w:bookmarkEnd w:id="22"/>
    <w:bookmarkStart w:id="23" w:name="X0a13984967b167001129aa2a7c8da29846620e5"/>
    <w:p>
      <w:pPr>
        <w:pStyle w:val="Heading2"/>
      </w:pPr>
      <w:r>
        <w:t xml:space="preserve">4.4 The structural patterning of distress: social determinants and community context</w:t>
      </w:r>
    </w:p>
    <w:p>
      <w:pPr>
        <w:pStyle w:val="FirstParagraph"/>
      </w:pPr>
      <w:r>
        <w:t xml:space="preserve">Beyond the individual-level specificity pattern, our data point to a structural feature of psychological distress in LMIC community settings that is of particular interest for social science audiences. The two worry sub-domains most strongly patterned by local site — basic-needs worry (ICC = 0.43) and safety/stigma (ICC = 0.36) — were also the two largest predictors of depression in the pooled model (β = 0.074 and 0.091). The correspondence across the full set of five sub-domains is positive but non-monotonic (Spearman ρ between ICC and β_depression = 0.6, not formally tested at</w:t>
      </w:r>
      <w:r>
        <w:t xml:space="preserve"> </w:t>
      </w:r>
      <w:r>
        <w:rPr>
          <w:iCs/>
          <w:i/>
        </w:rPr>
        <w:t xml:space="preserve">n</w:t>
      </w:r>
      <w:r>
        <w:t xml:space="preserve"> </w:t>
      </w:r>
      <w:r>
        <w:t xml:space="preserve">= 5): health fears show mid-range site clustering (ICC = 0.23) but the smallest depression coefficient (β = −0.011, n.s.), while the two least-clustered domains (economic worry ICC = 0.13, β = 0.028; social disruption ICC = 0.14, β = 0.051) carry smaller coefficients than the two most-clustered domains. The pattern is therefore most defensible at the extremes of site clustering rather than as a strict monotonic rank correspondence; it does not establish that community context drives the depression association, since individual and community processes cannot be cleanly separated with the 13 clusters available here and within-site variation also contributes to each coefficient. What the correspondence does suggest is that among the sub-domains most closely associated with depression, their distribution is more structured by where people live than is the case for the sub-domains less closely associated with depression.</w:t>
      </w:r>
    </w:p>
    <w:p>
      <w:pPr>
        <w:pStyle w:val="BodyText"/>
      </w:pPr>
      <w:r>
        <w:t xml:space="preserve">This pattern aligns with a rapidly maturing literature on the social determinants of mental health. Kirkbride and colleagues’ recent comprehensive review [56] synthesises evidence that adverse social circumstances — economic precarity, food and housing insecurity, social exclusion, and disease-related stigma — shape mental health trajectories across the life course, often operating at the community rather than the individual level. In LMIC settings specifically, Lund and colleagues [50] documented a bi-directional cycle between poverty and common mental disorders, and Ridley and colleagues [48] mapped the mechanisms through which material deprivation translates into depression and anxiety. Food insecurity — the closest real-world analogue of our basic-needs sub-domain — has been independently associated with depression and anxiety across 149 countries in Jones’s global analysis [49] with effects robust to individual-level socioeconomic adjustment. Stigma, in turn, has been documented as a prominent companion to acute disease outbreaks [53], particularly in LMIC settings where it intersects with pre-existing social fault-lines; its cross-cultural semantics are heterogeneous across Indonesia, Nepal, and Vietnam (</w:t>
      </w:r>
      <w:r>
        <w:rPr>
          <w:iCs/>
          <w:i/>
        </w:rPr>
        <w:t xml:space="preserve">malu</w:t>
      </w:r>
      <w:r>
        <w:t xml:space="preserve"> </w:t>
      </w:r>
      <w:r>
        <w:t xml:space="preserve">in Indonesian; the Sanskritic</w:t>
      </w:r>
      <w:r>
        <w:t xml:space="preserve"> </w:t>
      </w:r>
      <w:r>
        <w:rPr>
          <w:iCs/>
          <w:i/>
        </w:rPr>
        <w:t xml:space="preserve">lajja</w:t>
      </w:r>
      <w:r>
        <w:t xml:space="preserve"> </w:t>
      </w:r>
      <w:r>
        <w:t xml:space="preserve">and the colloquial Nepali</w:t>
      </w:r>
      <w:r>
        <w:t xml:space="preserve"> </w:t>
      </w:r>
      <w:r>
        <w:rPr>
          <w:iCs/>
          <w:i/>
        </w:rPr>
        <w:t xml:space="preserve">laj</w:t>
      </w:r>
      <w:r>
        <w:t xml:space="preserve">;</w:t>
      </w:r>
      <w:r>
        <w:t xml:space="preserve"> </w:t>
      </w:r>
      <w:r>
        <w:rPr>
          <w:iCs/>
          <w:i/>
        </w:rPr>
        <w:t xml:space="preserve">xấu hổ</w:t>
      </w:r>
      <w:r>
        <w:t xml:space="preserve"> </w:t>
      </w:r>
      <w:r>
        <w:t xml:space="preserve">in Vietnamese), and broader evidence on idioms of distress in South and Southeast Asian settings [54] indicates that such terms encode overlapping but non-identical configurations of shame, moral exposure, and loss of locally valued standing [47]. That our two most site-clustered worry domains — material and symbolic — are also the two most closely associated with depression is consistent with the interpretation that the depressive burden of public-health shocks in LMIC settings is patterned as strongly by community context as by individual characteristics, a reading that identifies community-level social determinants as a plausible target of response and not only as a background confounder.</w:t>
      </w:r>
    </w:p>
    <w:bookmarkEnd w:id="23"/>
    <w:bookmarkStart w:id="24" w:name="X69aca86ea3773df8728a9381626d6d7df5f14ba"/>
    <w:p>
      <w:pPr>
        <w:pStyle w:val="Heading2"/>
      </w:pPr>
      <w:r>
        <w:t xml:space="preserve">4.5 Implications for mental health response in LMICs</w:t>
      </w:r>
    </w:p>
    <w:p>
      <w:pPr>
        <w:pStyle w:val="FirstParagraph"/>
      </w:pPr>
      <w:r>
        <w:t xml:space="preserve">If different domains of worry are associated with different dimensions of distress, and if some of those domains are heavily patterned by community context, several programmatic considerations follow. First, generalist</w:t>
      </w:r>
      <w:r>
        <w:t xml:space="preserve"> </w:t>
      </w:r>
      <w:r>
        <w:t xml:space="preserve">“</w:t>
      </w:r>
      <w:r>
        <w:t xml:space="preserve">worry reduction</w:t>
      </w:r>
      <w:r>
        <w:t xml:space="preserve">”</w:t>
      </w:r>
      <w:r>
        <w:t xml:space="preserve"> </w:t>
      </w:r>
      <w:r>
        <w:t xml:space="preserve">or broad psychological first aid may be insufficiently targeted. In settings where basic-needs and safety/stigma concerns carry most of the depressive signal, interventions that address symptomatology without engaging its social stressors are unlikely to reach the populations for whom the need is greatest. The accumulating evidence from cash-transfer programmes in LMICs — including Haushofer and Shapiro’s randomised evaluation of unconditional transfers in rural Kenya, which reported substantial improvements in psychological well-being [55], McGuire and colleagues’ meta-analysis of 45 studies covering 116,999 individuals across 22 low- and middle-income countries [57], and the case for direct material support developed by Patel and colleagues in the Lancet Commission on global mental health and sustainable development [5] — indicates that material support can produce reproducible improvements in subjective well-being and common mental disorders. The pooled effect sizes are small (for mental health, Cohen’s</w:t>
      </w:r>
      <w:r>
        <w:t xml:space="preserve"> </w:t>
      </w:r>
      <w:r>
        <w:rPr>
          <w:iCs/>
          <w:i/>
        </w:rPr>
        <w:t xml:space="preserve">d</w:t>
      </w:r>
      <w:r>
        <w:t xml:space="preserve"> </w:t>
      </w:r>
      <w:r>
        <w:t xml:space="preserve">≈ 0.07 [57]) and fall short of clinical treatment effects, but the intervention is highly scalable, does not require specialist workforces, and addresses stressors that both our data and Kirkbride and colleagues’ review [56] identify as community-patterned. On this reading, material support belongs in the public-health response package during future crises, alongside rather than instead of psychological intervention.</w:t>
      </w:r>
    </w:p>
    <w:p>
      <w:pPr>
        <w:pStyle w:val="BodyText"/>
      </w:pPr>
      <w:r>
        <w:t xml:space="preserve">Second, where stigma concerns are prominently associated with distress, anti-stigma communication anchored in local moral experience [47,54] — including community-level interventions that engage what locally matters most rather than relying solely on individual-level education — is likely to be more effective than generic destigmatisation messaging, particularly given the site-clustering we observed. Third, where direct psychological intervention is indicated, task-sharing models delivered by trained non-specialist providers offer scalable pathways in settings where specialist mental health workforces are thin. Chibanda and colleagues’ Friendship Bench trial in Zimbabwe [52] and the broader portfolio of LMIC-tested interventions synthesised by Singla and colleagues [51] demonstrate that problem-solving therapy and related brief structured interventions delivered by lay providers can meaningfully reduce symptoms of common mental disorders; translating these protocols into acute-crisis response is a practical near-term priority. The differential associations we document do not directly identify which intervention element is most effective for which symptom dimension; they indicate that intervention design should account for differential exposure pathways rather than treating crisis-related worry as a monolithic stressor. Fourth, our finding that higher comorbidity count was independently associated with greater distress across all three DASS-21 dimensions, and with one of the largest coefficients in the model (β ≈ 0.23–0.25 per condition), echoes the broader evidence on mental–physical multimorbidity in LMIC settings and reinforces the case for integrated service delivery that does not silo mental and physical health.</w:t>
      </w:r>
    </w:p>
    <w:p>
      <w:pPr>
        <w:pStyle w:val="BodyText"/>
      </w:pPr>
      <w:r>
        <w:t xml:space="preserve">Fifth, these programmatic implications do not transport uniformly to Indonesia, Nepal, and Vietnam, whose mental-health delivery systems differ structurally. Indonesia’s</w:t>
      </w:r>
      <w:r>
        <w:t xml:space="preserve"> </w:t>
      </w:r>
      <w:r>
        <w:rPr>
          <w:iCs/>
          <w:i/>
        </w:rPr>
        <w:t xml:space="preserve">Puskesmas</w:t>
      </w:r>
      <w:r>
        <w:t xml:space="preserve"> </w:t>
      </w:r>
      <w:r>
        <w:t xml:space="preserve">primary-care network provides an existing platform suited to integrating cash-linked psychosocial support at community level; Vietnam’s commune health-station infrastructure offers a decentralised route for community-based anti-stigma communication anchored in local moral experience; and Nepal’s continuing shortage of specialist mental-health providers strengthens the case for task-sharing with trained lay counsellors along the lines demonstrated by Chibanda and colleagues [52]. Intervention design in each setting should be anchored in the delivery platform already present rather than treated as a pan-LMIC template, and the differential exposure patterns we document (§3.4) should inform which platform-compatible programmatic element is prioritised.</w:t>
      </w:r>
    </w:p>
    <w:bookmarkEnd w:id="24"/>
    <w:bookmarkStart w:id="25" w:name="strengths-and-limitations"/>
    <w:p>
      <w:pPr>
        <w:pStyle w:val="Heading2"/>
      </w:pPr>
      <w:r>
        <w:t xml:space="preserve">4.6 Strengths and limitations</w:t>
      </w:r>
    </w:p>
    <w:p>
      <w:pPr>
        <w:pStyle w:val="FirstParagraph"/>
      </w:pPr>
      <w:r>
        <w:t xml:space="preserve">Strengths of the study include a theoretically motivated decomposition of the worry inventory validated by split-sample exploratory and confirmatory factor analysis; metric and partial scalar measurement invariance testing across three country contexts; Rubin-pooled multilevel regression across 30 imputations with Benjamini–Hochberg adjustment of the pre-specified 15-test family; Rubin-pooled mediation using the Schomaker–Heumann framework [44]; and an extensive battery of pre-specified and post-hoc sensitivity analyses, all of which reproduced the primary ordering of worry × outcome associations (§3.7; Tables S12–S17). The multi-country community sample, drawn from urban, peri-urban, rural, and remote settings across Indonesia, Nepal, and Vietnam, offers structural heterogeneity that contrasts with the predominantly single-country designs represented in the regional pandemic meta-analyses [59,60].</w:t>
      </w:r>
    </w:p>
    <w:p>
      <w:pPr>
        <w:pStyle w:val="BodyText"/>
      </w:pPr>
      <w:r>
        <w:t xml:space="preserve">Several limitations warrant explicit acknowledgement. First, the cross-sectional design precludes causal inference; the mediation results should be read as a decomposition of observed covariation under a hypothesised direction rather than as causal estimates [43]. Second, data were collected during February–June 2021, which spans different national phases of the public-health shock; although country fixed effects partly absorb this heterogeneity, the results should not be extrapolated to other phases of a crisis, nor assumed to generalise to pre- or post-crisis states. Third, the 13-site cluster count falls below Maas–Hox thresholds [38] for reliable variance-component interpretation and cross-level inference; we accordingly do not interpret site-level variance components or individual site random-intercept estimates (Note S1), and within-country cluster counts (</w:t>
      </w:r>
      <w:r>
        <w:rPr>
          <w:iCs/>
          <w:i/>
        </w:rPr>
        <w:t xml:space="preserve">k</w:t>
      </w:r>
      <w:r>
        <w:t xml:space="preserve"> </w:t>
      </w:r>
      <w:r>
        <w:t xml:space="preserve">= 3–6) further constrain country-stratified estimates to hypothesis-generating status. Fourth, the purposive site-selection design of the parent SPEAR study [21], together with non-support for full scalar measurement invariance (§3.2), limits the external-validity warrant for cross-country comparisons of distress levels. Fifth, the structural-equation specification of the same measurement–structural model yielded improper solutions in both five-factor and four-factor configurations (Note S2), indicating empirical under-identification at this level of worry-sub-domain disaggregation; the multilevel regression therefore remains the primary analytic framework, with the SEM reported as a directional convergence check only. Sixth, the safety/stigma sub-domain comprises only two items; cross-cultural semantics of stigma in Indonesia, Nepal, and Vietnam differ substantially [47,54], and a two-item index cannot disambiguate these meanings or capture the structurally distinct moral experiences that Yang and colleagues’ framework identifies as central to stigma’s psychological impact. Seventh, the heterogeneity of idioms of distress across South and Southeast Asian settings [54] means that DASS-21 and the worry inventory, although measurement-invariant at the metric level and partially so at the scalar level (§3.2), may each capture slightly different facets of the local suffering landscape across countries; our country-stratified estimates should be read with this caveat. Finally, all measures are self-reported and administered in a single interview session, which introduces the possibility of common-method bias beyond what our Harman’s single-factor post-hoc check (Table S15) can rule out; furthermore, the DASS-21’s seven-day recall window and the implicit reference period of the bespoke worry items (not anchored to a specific window in the instrument) may not align, and any such recall-window mismatch could modestly attenuate the cross-sectional associations we estimate. In addition, unmeasured site-level confounders (including local outbreak timing, urbanicity gradients within a site label, and pre-existing community mental health infrastructure) cannot be fully absorbed by site fixed effects at</w:t>
      </w:r>
      <w:r>
        <w:t xml:space="preserve"> </w:t>
      </w:r>
      <w:r>
        <w:rPr>
          <w:iCs/>
          <w:i/>
        </w:rPr>
        <w:t xml:space="preserve">k</w:t>
      </w:r>
      <w:r>
        <w:t xml:space="preserve"> </w:t>
      </w:r>
      <w:r>
        <w:t xml:space="preserve">= 13 and may contribute to the country- and site-specific variation observed in §3.6.</w:t>
      </w:r>
    </w:p>
    <w:bookmarkEnd w:id="25"/>
    <w:bookmarkStart w:id="26" w:name="future-directions-and-conclusion"/>
    <w:p>
      <w:pPr>
        <w:pStyle w:val="Heading2"/>
      </w:pPr>
      <w:r>
        <w:t xml:space="preserve">4.7 Future directions and conclusion</w:t>
      </w:r>
    </w:p>
    <w:p>
      <w:pPr>
        <w:pStyle w:val="FirstParagraph"/>
      </w:pPr>
      <w:r>
        <w:t xml:space="preserve">Three directions for future work follow directly from the findings. First, longitudinal designs are needed to test whether the pathway-specific associations we document reflect temporally ordered proliferation, as the Stress Process Model predicts, or represent a synchronous clustering of concerns and symptoms; this is the decisive test that cross-sectional data cannot deliver [43]. Second, intervention trials specifically designed to examine whether material support, anti-stigma community interventions, and non-specialist-delivered psychological therapy [51,52] produce differential effects on depression, anxiety, and stress as predicted by the selective specificity pattern would translate the descriptive finding into a prescriptive hypothesis. Third, conceptual and measurement work remains on the safety/stigma domain in particular: the two-item index used here was powered to capture a single axis of concern and should be expanded in future instrument development to reflect the multidimensional semantic space of stigma across cultural contexts [46,47,54].</w:t>
      </w:r>
    </w:p>
    <w:p>
      <w:pPr>
        <w:pStyle w:val="BodyText"/>
      </w:pPr>
      <w:r>
        <w:t xml:space="preserve">Psychological distress during a public-health shock in vulnerable LMIC communities is not a uniform response to generalised threat. Decomposing crisis-related worry into its material, interpersonal, and symbolic sub-domains reveals a patterned mapping between specific types of concern and specific dimensions of distress — selective pathway specificity — that aggregate scoring obscures. The worry sub-domains most strongly patterned by community context (basic-needs worry and safety/stigma) are also those most strongly associated with depression, suggesting that the depressive burden of public-health crises in LMICs is closely patterned by structural inequalities in material security and social standing. Replicated in longitudinal and intervention research, these findings would support more differentiated, structurally-anchored mental health responses to future public-health crises in resource-constrained settings.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2026-04-18T04:29:43Z</dcterms:created>
  <dcterms:modified xsi:type="dcterms:W3CDTF">2026-04-18T04:29:43Z</dcterms:modified>
</cp:coreProperties>
</file>

<file path=docProps/custom.xml><?xml version="1.0" encoding="utf-8"?>
<Properties xmlns="http://schemas.openxmlformats.org/officeDocument/2006/custom-properties" xmlns:vt="http://schemas.openxmlformats.org/officeDocument/2006/docPropsVTypes"/>
</file>