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ferences-vancouver-format"/>
    <w:p>
      <w:pPr>
        <w:pStyle w:val="Heading1"/>
      </w:pPr>
      <w:r>
        <w:t xml:space="preserve">References (Vancouver format)</w:t>
      </w:r>
    </w:p>
    <w:p>
      <w:pPr>
        <w:numPr>
          <w:ilvl w:val="0"/>
          <w:numId w:val="1001"/>
        </w:numPr>
        <w:pStyle w:val="Compact"/>
      </w:pPr>
      <w:r>
        <w:t xml:space="preserve">Rajkumar RP. COVID-19 and mental health: a review of the existing literature. Asian J Psychiatry. 2020;52:102066. doi:10.1016/j.ajp.2020.102066</w:t>
      </w:r>
    </w:p>
    <w:p>
      <w:pPr>
        <w:numPr>
          <w:ilvl w:val="0"/>
          <w:numId w:val="1001"/>
        </w:numPr>
        <w:pStyle w:val="Compact"/>
      </w:pPr>
      <w:r>
        <w:t xml:space="preserve">Nochaiwong S, Ruengorn C, Thavorn K, Hutton B, Awiphan R, Phosuya C, et al. Global prevalence of mental health issues among the general population during the coronavirus disease-2019 pandemic: a systematic review and meta-analysis. Sci Rep. 2021;11:10173. doi:10.1038/s41598-021-89700-8</w:t>
      </w:r>
    </w:p>
    <w:p>
      <w:pPr>
        <w:numPr>
          <w:ilvl w:val="0"/>
          <w:numId w:val="1001"/>
        </w:numPr>
        <w:pStyle w:val="Compact"/>
      </w:pPr>
      <w:r>
        <w:t xml:space="preserve">Santomauro DF, Mantilla Herrera AM, Shadid J, Zheng P, Ashbaugh C, Pigott DM, et al. Global prevalence and burden of depressive and anxiety disorders in 204 countries and territories in 2020 due to the COVID-19 pandemic. Lancet. 2021;398(10312):1700-1712. doi:10.1016/S0140-6736(21)02143-7</w:t>
      </w:r>
    </w:p>
    <w:p>
      <w:pPr>
        <w:numPr>
          <w:ilvl w:val="0"/>
          <w:numId w:val="1001"/>
        </w:numPr>
        <w:pStyle w:val="Compact"/>
      </w:pPr>
      <w:r>
        <w:t xml:space="preserve">Lund C, Brooke-Sumner C, Baingana F, Baron EC, Breuer E, Chandra P, et al. Social determinants of mental disorders and the Sustainable Development Goals: a systematic review of reviews. Lancet Psychiatry. 2018;5(4):357-369. doi:10.1016/S2215-0366(18)30060-9</w:t>
      </w:r>
    </w:p>
    <w:p>
      <w:pPr>
        <w:numPr>
          <w:ilvl w:val="0"/>
          <w:numId w:val="1001"/>
        </w:numPr>
        <w:pStyle w:val="Compact"/>
      </w:pPr>
      <w:r>
        <w:t xml:space="preserve">Patel V, Saxena S, Lund C, Thornicroft G, Baingana F, Bolton P, et al. The Lancet Commission on global mental health and sustainable development. Lancet. 2018;392(10157):1553-1598. doi:10.1016/S0140-6736(18)31612-X</w:t>
      </w:r>
    </w:p>
    <w:p>
      <w:pPr>
        <w:numPr>
          <w:ilvl w:val="0"/>
          <w:numId w:val="1001"/>
        </w:numPr>
        <w:pStyle w:val="Compact"/>
      </w:pPr>
      <w:r>
        <w:t xml:space="preserve">Vindegaard N, Benros ME. COVID-19 pandemic and mental health consequences: systematic review of the current evidence. Brain Behav Immun. 2020;89:531-542. doi:10.1016/j.bbi.2020.05.048</w:t>
      </w:r>
    </w:p>
    <w:p>
      <w:pPr>
        <w:numPr>
          <w:ilvl w:val="0"/>
          <w:numId w:val="1001"/>
        </w:numPr>
        <w:pStyle w:val="Compact"/>
      </w:pPr>
      <w:r>
        <w:t xml:space="preserve">Xiong J, Lipsitz O, Nasri F, Lui LMW, Gill H, Phan L, et al. Impact of COVID-19 pandemic on mental health in the general population: a systematic review. J Affect Disord. 2020;277:55-64. doi:10.1016/j.jad.2020.08.001</w:t>
      </w:r>
    </w:p>
    <w:p>
      <w:pPr>
        <w:numPr>
          <w:ilvl w:val="0"/>
          <w:numId w:val="1001"/>
        </w:numPr>
        <w:pStyle w:val="Compact"/>
      </w:pPr>
      <w:r>
        <w:t xml:space="preserve">Lovibond PF, Lovibond SH. The structure of negative emotional states: comparison of the Depression Anxiety Stress Scales (DASS) with the Beck Depression and Anxiety Inventories. Behav Res Ther. 1995;33(3):335-343. doi:10.1016/0005-7967(94)00075-U</w:t>
      </w:r>
    </w:p>
    <w:p>
      <w:pPr>
        <w:numPr>
          <w:ilvl w:val="0"/>
          <w:numId w:val="1001"/>
        </w:numPr>
        <w:pStyle w:val="Compact"/>
      </w:pPr>
      <w:r>
        <w:t xml:space="preserve">Clark LA, Watson D. Tripartite model of anxiety and depression: psychometric evidence and taxonomic implications. J Abnorm Psychol. 1991;100(3):316-336. doi:10.1037/0021-843X.100.3.316</w:t>
      </w:r>
    </w:p>
    <w:p>
      <w:pPr>
        <w:numPr>
          <w:ilvl w:val="0"/>
          <w:numId w:val="1001"/>
        </w:numPr>
        <w:pStyle w:val="Compact"/>
      </w:pPr>
      <w:r>
        <w:t xml:space="preserve">Lenzo V, Quattropani MC, Sardella A, Martino G, Bonanno GA. Depression, anxiety, and stress among healthcare workers during the COVID-19 outbreak and relationships with expressive flexibility and context sensitivity. Front Psychol. 2021;12:623033. doi:10.3389/fpsyg.2021.623033</w:t>
      </w:r>
    </w:p>
    <w:p>
      <w:pPr>
        <w:numPr>
          <w:ilvl w:val="0"/>
          <w:numId w:val="1001"/>
        </w:numPr>
        <w:pStyle w:val="Compact"/>
      </w:pPr>
      <w:r>
        <w:t xml:space="preserve">Pandey A, Sharma C, Chapagain RH, Devkota N, Ranabhat K, Pant S, et al. Stress, anxiety, depression and their associated factors among health care workers during COVID-19 pandemic in Nepal. J Nepal Health Res Counc. 2021;18(4):655-660. doi:10.33314/jnhrc.v18i4.3190</w:t>
      </w:r>
    </w:p>
    <w:p>
      <w:pPr>
        <w:numPr>
          <w:ilvl w:val="0"/>
          <w:numId w:val="1001"/>
        </w:numPr>
        <w:pStyle w:val="Compact"/>
      </w:pPr>
      <w:r>
        <w:t xml:space="preserve">Poudel A, Lamichhane A, Gautam S, Ghimire GD, Sharma S. Recurrent COVID-19 waves and lockdown: impact on daily life and mental health of people in Nepal. Ment Illn. 2023;2023:1930093. doi:10.1155/2023/1930093</w:t>
      </w:r>
    </w:p>
    <w:p>
      <w:pPr>
        <w:numPr>
          <w:ilvl w:val="0"/>
          <w:numId w:val="1001"/>
        </w:numPr>
        <w:pStyle w:val="Compact"/>
      </w:pPr>
      <w:r>
        <w:t xml:space="preserve">Salari N, Hosseinian-Far A, Jalali R, Vaisi-Raygani A, Rasoulpoor S, Mohammadi M, et al. Prevalence of stress, anxiety, depression among the general population during the COVID-19 pandemic: a systematic review and meta-analysis. Global Health. 2020;16:57. doi:10.1186/s12992-020-00589-w</w:t>
      </w:r>
    </w:p>
    <w:p>
      <w:pPr>
        <w:numPr>
          <w:ilvl w:val="0"/>
          <w:numId w:val="1001"/>
        </w:numPr>
        <w:pStyle w:val="Compact"/>
      </w:pPr>
      <w:r>
        <w:t xml:space="preserve">Ahorsu DK, Lin CY, Imani V, Saffari M, Griffiths MD, Pakpour AH. The Fear of COVID-19 Scale: development and initial validation. Int J Ment Health Addict. 2022;20:1537-1545. doi:10.1007/s11469-020-00270-8</w:t>
      </w:r>
    </w:p>
    <w:p>
      <w:pPr>
        <w:numPr>
          <w:ilvl w:val="0"/>
          <w:numId w:val="1001"/>
        </w:numPr>
        <w:pStyle w:val="Compact"/>
      </w:pPr>
      <w:r>
        <w:t xml:space="preserve">Taylor S, Landry CA, Paluszek MM, Fergus TA, McKay D, Asmundson GJG. Development and initial validation of the COVID Stress Scales. J Anxiety Disord. 2020;72:102232. doi:10.1016/j.janxdis.2020.102232</w:t>
      </w:r>
    </w:p>
    <w:p>
      <w:pPr>
        <w:numPr>
          <w:ilvl w:val="0"/>
          <w:numId w:val="1001"/>
        </w:numPr>
        <w:pStyle w:val="Compact"/>
      </w:pPr>
      <w:r>
        <w:t xml:space="preserve">Pearlin LI, Menaghan EG, Lieberman MA, Mullan JT. The stress process. J Health Soc Behav. 1981;22(4):337-356. doi:10.2307/2136676</w:t>
      </w:r>
    </w:p>
    <w:p>
      <w:pPr>
        <w:numPr>
          <w:ilvl w:val="0"/>
          <w:numId w:val="1001"/>
        </w:numPr>
        <w:pStyle w:val="Compact"/>
      </w:pPr>
      <w:r>
        <w:t xml:space="preserve">Pearlin LI, Schieman S, Fazio EM, Meersman SC. Stress, health, and the life course: some conceptual perspectives. J Health Soc Behav. 2005;46(2):205-219. doi:10.1177/002214650504600206</w:t>
      </w:r>
    </w:p>
    <w:p>
      <w:pPr>
        <w:numPr>
          <w:ilvl w:val="0"/>
          <w:numId w:val="1001"/>
        </w:numPr>
        <w:pStyle w:val="Compact"/>
      </w:pPr>
      <w:r>
        <w:t xml:space="preserve">Pearlin LI, Bierman A. Current issues and future directions in research into the stress process. In: Aneshensel CS, Phelan JC, Bierman A, editors. Handbook of the sociology of mental health. 2nd ed. Dordrecht: Springer; 2013. p. 325-340. doi:10.1007/978-94-007-4276-5_16</w:t>
      </w:r>
    </w:p>
    <w:p>
      <w:pPr>
        <w:numPr>
          <w:ilvl w:val="0"/>
          <w:numId w:val="1001"/>
        </w:numPr>
        <w:pStyle w:val="Compact"/>
      </w:pPr>
      <w:r>
        <w:t xml:space="preserve">Hobfoll SE. Conservation of resources: a new attempt at conceptualizing stress. Am Psychol. 1989;44(3):513-524. doi:10.1037/0003-066X.44.3.513</w:t>
      </w:r>
    </w:p>
    <w:p>
      <w:pPr>
        <w:numPr>
          <w:ilvl w:val="0"/>
          <w:numId w:val="1001"/>
        </w:numPr>
        <w:pStyle w:val="Compact"/>
      </w:pPr>
      <w:r>
        <w:t xml:space="preserve">Hobfoll SE. The influence of culture, community, and the nested-self in the stress process: advancing Conservation of Resources theory. Appl Psychol. 2001;50(3):337-421. doi:10.1111/1464-0597.00062</w:t>
      </w:r>
    </w:p>
    <w:p>
      <w:pPr>
        <w:numPr>
          <w:ilvl w:val="0"/>
          <w:numId w:val="1002"/>
        </w:numPr>
      </w:pPr>
      <w:r>
        <w:t xml:space="preserve">Van Nuil JI, Friska D, Kekalih A, et al. COVID-19 Social Science and Public Engagement Action Research in Vietnam, Indonesia and Nepal (SPEAR): Protocol for a mixed methods study exploring the experiences and impacts of COVID-19 for healthcare workers and vulnerable communities. Wellcome Open Res. 2021;6:352. doi:10.12688/wellcomeopenres.17314.1</w:t>
      </w:r>
    </w:p>
    <w:p>
      <w:pPr>
        <w:numPr>
          <w:ilvl w:val="0"/>
          <w:numId w:val="1002"/>
        </w:numPr>
      </w:pPr>
      <w:r>
        <w:t xml:space="preserve">von Elm E, Altman DG, Egger M, Pocock SJ, Gøtzsche PC, Vandenbroucke JP; STROBE Initiative. The Strengthening the Reporting of Observational Studies in Epidemiology (STROBE) statement: guidelines for reporting observational studies. Lancet. 2007;370(9596):1453-1457. doi:10.1016/S0140-6736(07)61602-X</w:t>
      </w:r>
    </w:p>
    <w:p>
      <w:pPr>
        <w:numPr>
          <w:ilvl w:val="0"/>
          <w:numId w:val="1002"/>
        </w:numPr>
      </w:pPr>
      <w:r>
        <w:t xml:space="preserve">Tonsing KN. Psychometric properties and validation of Nepali version of the Depression Anxiety Stress Scales (DASS-21). Asian J Psychiatry. 2014;8:63-66. doi:10.1016/j.ajp.2013.11.001</w:t>
      </w:r>
    </w:p>
    <w:p>
      <w:pPr>
        <w:numPr>
          <w:ilvl w:val="0"/>
          <w:numId w:val="1002"/>
        </w:numPr>
      </w:pPr>
      <w:r>
        <w:t xml:space="preserve">Le MT, Tran TD, Holton S, Nguyen HT, Wolfe R, Fisher J. Reliability, convergent validity and factor structure of the DASS-21 in a sample of Vietnamese adolescents. PLoS One. 2017;12(7):e0180557. doi:10.1371/journal.pone.0180557</w:t>
      </w:r>
    </w:p>
    <w:p>
      <w:pPr>
        <w:numPr>
          <w:ilvl w:val="0"/>
          <w:numId w:val="1002"/>
        </w:numPr>
      </w:pPr>
      <w:r>
        <w:t xml:space="preserve">Olsson U. Maximum likelihood estimation of the polychoric correlation coefficient. Psychometrika. 1979;44(4):443-460. doi:10.1007/BF02296207</w:t>
      </w:r>
    </w:p>
    <w:p>
      <w:pPr>
        <w:numPr>
          <w:ilvl w:val="0"/>
          <w:numId w:val="1002"/>
        </w:numPr>
      </w:pPr>
      <w:r>
        <w:t xml:space="preserve">Horn JL. A rationale and test for the number of factors in factor analysis. Psychometrika. 1965;30:179-185. doi:10.1007/BF02289447</w:t>
      </w:r>
    </w:p>
    <w:p>
      <w:pPr>
        <w:numPr>
          <w:ilvl w:val="0"/>
          <w:numId w:val="1002"/>
        </w:numPr>
      </w:pPr>
      <w:r>
        <w:t xml:space="preserve">Li CH. Confirmatory factor analysis with ordinal data: comparing robust maximum likelihood and diagonally weighted least squares. Behav Res Methods. 2016;48(3):936-949. doi:10.3758/s13428-015-0619-7</w:t>
      </w:r>
    </w:p>
    <w:p>
      <w:pPr>
        <w:numPr>
          <w:ilvl w:val="0"/>
          <w:numId w:val="1002"/>
        </w:numPr>
      </w:pPr>
      <w:r>
        <w:t xml:space="preserve">Rhemtulla M, Brosseau-Liard PÉ, Savalei V. When can categorical variables be treated as continuous? A comparison of robust continuous and categorical SEM estimation methods under suboptimal conditions. Psychol Methods. 2012;17(3):354-373. doi:10.1037/a0029315</w:t>
      </w:r>
    </w:p>
    <w:p>
      <w:pPr>
        <w:numPr>
          <w:ilvl w:val="0"/>
          <w:numId w:val="1002"/>
        </w:numPr>
      </w:pPr>
      <w:r>
        <w:t xml:space="preserve">Chen FF. Sensitivity of goodness of fit indexes to lack of measurement invariance. Struct Equ Modeling. 2007;14(3):464-504. doi:10.1080/10705510701301834</w:t>
      </w:r>
    </w:p>
    <w:p>
      <w:pPr>
        <w:numPr>
          <w:ilvl w:val="0"/>
          <w:numId w:val="1002"/>
        </w:numPr>
      </w:pPr>
      <w:r>
        <w:t xml:space="preserve">Putnick DL, Bornstein MH. Measurement invariance conventions and reporting: the state of the art and future directions for psychological research. Dev Rev. 2016;41:71-90. doi:10.1016/j.dr.2016.06.004</w:t>
      </w:r>
    </w:p>
    <w:p>
      <w:pPr>
        <w:numPr>
          <w:ilvl w:val="0"/>
          <w:numId w:val="1002"/>
        </w:numPr>
      </w:pPr>
      <w:r>
        <w:t xml:space="preserve">van Buuren S, Groothuis-Oudshoorn K. mice: Multivariate imputation by chained equations in R. J Stat Softw. 2011;45(3):1-67. doi:10.18637/jss.v045.i03</w:t>
      </w:r>
    </w:p>
    <w:p>
      <w:pPr>
        <w:numPr>
          <w:ilvl w:val="0"/>
          <w:numId w:val="1002"/>
        </w:numPr>
      </w:pPr>
      <w:r>
        <w:t xml:space="preserve">van Buuren S. Flexible imputation of missing data. 2nd ed. Boca Raton, FL: Chapman and Hall/CRC; 2018. doi:10.1201/9780429492259</w:t>
      </w:r>
    </w:p>
    <w:p>
      <w:pPr>
        <w:numPr>
          <w:ilvl w:val="0"/>
          <w:numId w:val="1002"/>
        </w:numPr>
      </w:pPr>
      <w:r>
        <w:t xml:space="preserve">Grund S, Robitzsch A, Lüdtke O. mitml: Tools for multiple imputation in multilevel modeling. R package version 0.4-5; 2023. https://CRAN.R-project.org/package=mitml</w:t>
      </w:r>
    </w:p>
    <w:p>
      <w:pPr>
        <w:numPr>
          <w:ilvl w:val="0"/>
          <w:numId w:val="1002"/>
        </w:numPr>
      </w:pPr>
      <w:r>
        <w:t xml:space="preserve">Bates D, Mächler M, Bolker B, Walker S. Fitting linear mixed-effects models using lme4. J Stat Softw. 2015;67(1):1-48. doi:10.18637/jss.v067.i01</w:t>
      </w:r>
    </w:p>
    <w:p>
      <w:pPr>
        <w:numPr>
          <w:ilvl w:val="0"/>
          <w:numId w:val="1002"/>
        </w:numPr>
      </w:pPr>
      <w:r>
        <w:t xml:space="preserve">Kuznetsova A, Brockhoff PB, Christensen RHB. lmerTest package: tests in linear mixed effects models. J Stat Softw. 2017;82(13):1-26. doi:10.18637/jss.v082.i13</w:t>
      </w:r>
    </w:p>
    <w:p>
      <w:pPr>
        <w:numPr>
          <w:ilvl w:val="0"/>
          <w:numId w:val="1002"/>
        </w:numPr>
      </w:pPr>
      <w:r>
        <w:t xml:space="preserve">Satterthwaite FE. An approximate distribution of estimates of variance components. Biometrics Bull. 1946;2(6):110-114. doi:10.2307/3002019</w:t>
      </w:r>
    </w:p>
    <w:p>
      <w:pPr>
        <w:numPr>
          <w:ilvl w:val="0"/>
          <w:numId w:val="1002"/>
        </w:numPr>
      </w:pPr>
      <w:r>
        <w:t xml:space="preserve">Rubin DB. Multiple imputation for nonresponse in surveys. New York: Wiley; 1987. doi:10.1002/9780470316696</w:t>
      </w:r>
    </w:p>
    <w:p>
      <w:pPr>
        <w:numPr>
          <w:ilvl w:val="0"/>
          <w:numId w:val="1002"/>
        </w:numPr>
      </w:pPr>
      <w:r>
        <w:t xml:space="preserve">Maas CJM, Hox JJ. Sufficient sample sizes for multilevel modeling. Methodology. 2005;1(3):86-92. doi:10.1027/1614-2241.1.3.86</w:t>
      </w:r>
    </w:p>
    <w:p>
      <w:pPr>
        <w:numPr>
          <w:ilvl w:val="0"/>
          <w:numId w:val="1002"/>
        </w:numPr>
      </w:pPr>
      <w:r>
        <w:t xml:space="preserve">Pustejovsky JE, Tipton E. Small-sample methods for cluster-robust variance estimation and hypothesis testing in fixed effects models. J Bus Econ Stat. 2018;36(4):672-683. doi:10.1080/07350015.2016.1247004</w:t>
      </w:r>
    </w:p>
    <w:p>
      <w:pPr>
        <w:numPr>
          <w:ilvl w:val="0"/>
          <w:numId w:val="1002"/>
        </w:numPr>
      </w:pPr>
      <w:r>
        <w:t xml:space="preserve">Nakagawa S, Schielzeth H. A general and simple method for obtaining R² from generalized linear mixed-effects models. Methods Ecol Evol. 2013;4(2):133-142. doi:10.1111/j.2041-210x.2012.00261.x</w:t>
      </w:r>
    </w:p>
    <w:p>
      <w:pPr>
        <w:numPr>
          <w:ilvl w:val="0"/>
          <w:numId w:val="1002"/>
        </w:numPr>
      </w:pPr>
      <w:r>
        <w:t xml:space="preserve">Harel O. The estimation of R² and adjusted R² in incomplete data sets using multiple imputation. J Appl Stat. 2009;36(10):1109-1118. doi:10.1080/02664760802553000</w:t>
      </w:r>
    </w:p>
    <w:p>
      <w:pPr>
        <w:numPr>
          <w:ilvl w:val="0"/>
          <w:numId w:val="1002"/>
        </w:numPr>
      </w:pPr>
      <w:r>
        <w:t xml:space="preserve">Benjamini Y, Hochberg Y. Controlling the false discovery rate: a practical and powerful approach to multiple testing. J R Stat Soc Series B. 1995;57(1):289-300. doi:10.1111/j.2517-6161.1995.tb02031.x</w:t>
      </w:r>
    </w:p>
    <w:p>
      <w:pPr>
        <w:numPr>
          <w:ilvl w:val="0"/>
          <w:numId w:val="1002"/>
        </w:numPr>
      </w:pPr>
      <w:r>
        <w:t xml:space="preserve">Maxwell SE, Cole DA. Bias in cross-sectional analyses of longitudinal mediation. Psychol Methods. 2007;12(1):23-44. doi:10.1037/1082-989X.12.1.23</w:t>
      </w:r>
    </w:p>
    <w:p>
      <w:pPr>
        <w:numPr>
          <w:ilvl w:val="0"/>
          <w:numId w:val="1002"/>
        </w:numPr>
      </w:pPr>
      <w:r>
        <w:t xml:space="preserve">Schomaker M, Heumann C. Bootstrap inference when using multiple imputation. Stat Med. 2018;37(14):2252-2266. doi:10.1002/sim.7654</w:t>
      </w:r>
    </w:p>
    <w:p>
      <w:pPr>
        <w:numPr>
          <w:ilvl w:val="0"/>
          <w:numId w:val="1002"/>
        </w:numPr>
      </w:pPr>
      <w:r>
        <w:t xml:space="preserve">Enders CK, Tofighi D. Centering predictor variables in cross-sectional multilevel models: a new look at an old issue. Psychol Methods. 2007;12(2):121-138. doi:10.1037/1082-989X.12.2.121</w:t>
      </w:r>
    </w:p>
    <w:p>
      <w:pPr>
        <w:numPr>
          <w:ilvl w:val="0"/>
          <w:numId w:val="1002"/>
        </w:numPr>
      </w:pPr>
      <w:r>
        <w:t xml:space="preserve">Link BG, Phelan JC. Conceptualizing stigma. Annu Rev Sociol. 2001;27:363-385. doi:10.1146/annurev.soc.27.1.363</w:t>
      </w:r>
    </w:p>
    <w:p>
      <w:pPr>
        <w:numPr>
          <w:ilvl w:val="0"/>
          <w:numId w:val="1002"/>
        </w:numPr>
      </w:pPr>
      <w:r>
        <w:t xml:space="preserve">Yang LH, Kleinman A, Link BG, Phelan JC, Lee S, Good B. Culture and stigma: adding moral experience to stigma theory. Soc Sci Med. 2007;64(7):1524-1535. doi:10.1016/j.socscimed.2006.11.013</w:t>
      </w:r>
    </w:p>
    <w:p>
      <w:pPr>
        <w:numPr>
          <w:ilvl w:val="0"/>
          <w:numId w:val="1002"/>
        </w:numPr>
      </w:pPr>
      <w:r>
        <w:t xml:space="preserve">Ridley M, Rao G, Schilbach F, Patel V. Poverty, depression, and anxiety: causal evidence and mechanisms. Science. 2020;370(6522):eaay0214. doi:10.1126/science.aay0214</w:t>
      </w:r>
    </w:p>
    <w:p>
      <w:pPr>
        <w:numPr>
          <w:ilvl w:val="0"/>
          <w:numId w:val="1002"/>
        </w:numPr>
      </w:pPr>
      <w:r>
        <w:t xml:space="preserve">Jones AD. Food insecurity and mental health status: a global analysis of 149 countries. Am J Prev Med. 2017;53(2):264-273. doi:10.1016/j.amepre.2017.04.008</w:t>
      </w:r>
    </w:p>
    <w:p>
      <w:pPr>
        <w:numPr>
          <w:ilvl w:val="0"/>
          <w:numId w:val="1002"/>
        </w:numPr>
      </w:pPr>
      <w:r>
        <w:t xml:space="preserve">Lund C, De Silva M, Plagerson S, Cooper S, Chisholm D, Das J, Knapp M, Patel V. Poverty and mental disorders: breaking the cycle in low-income and middle-income countries. Lancet. 2011;378(9801):1502-1514. doi:10.1016/S0140-6736(11)60754-X</w:t>
      </w:r>
    </w:p>
    <w:p>
      <w:pPr>
        <w:numPr>
          <w:ilvl w:val="0"/>
          <w:numId w:val="1002"/>
        </w:numPr>
      </w:pPr>
      <w:r>
        <w:t xml:space="preserve">Singla DR, Kohrt BA, Murray LK, Anand A, Chorpita BF, Patel V. Psychological treatments for the world: lessons from low- and middle-income countries. Annu Rev Clin Psychol. 2017;13:149-181. doi:10.1146/annurev-clinpsy-032816-045217</w:t>
      </w:r>
    </w:p>
    <w:p>
      <w:pPr>
        <w:numPr>
          <w:ilvl w:val="0"/>
          <w:numId w:val="1002"/>
        </w:numPr>
      </w:pPr>
      <w:r>
        <w:t xml:space="preserve">Chibanda D, Weiss HA, Verhey R, Simms V, Munjoma R, Rusakaniko S, Chingono A, Munetsi E, Bere T, Manda E, Abas M, Araya R. Effect of a primary care-based psychological intervention on symptoms of common mental disorders in Zimbabwe: a randomized clinical trial. JAMA. 2016;316(24):2618-2626. doi:10.1001/jama.2016.19102</w:t>
      </w:r>
    </w:p>
    <w:p>
      <w:pPr>
        <w:numPr>
          <w:ilvl w:val="0"/>
          <w:numId w:val="1002"/>
        </w:numPr>
      </w:pPr>
      <w:r>
        <w:t xml:space="preserve">Bagcchi S. Stigma during the COVID-19 pandemic. Lancet Infect Dis. 2020;20(7):782. doi:10.1016/S1473-3099(20)30498-9</w:t>
      </w:r>
    </w:p>
    <w:p>
      <w:pPr>
        <w:numPr>
          <w:ilvl w:val="0"/>
          <w:numId w:val="1002"/>
        </w:numPr>
      </w:pPr>
      <w:r>
        <w:t xml:space="preserve">Kaiser BN, Haroz EE, Kohrt BA, Bolton PA, Bass JK, Hinton DE.</w:t>
      </w:r>
      <w:r>
        <w:t xml:space="preserve"> </w:t>
      </w:r>
      <w:r>
        <w:t xml:space="preserve">“</w:t>
      </w:r>
      <w:r>
        <w:t xml:space="preserve">Thinking too much</w:t>
      </w:r>
      <w:r>
        <w:t xml:space="preserve">”</w:t>
      </w:r>
      <w:r>
        <w:t xml:space="preserve">: a systematic review of a common idiom of distress. Soc Sci Med. 2015;147:170-183. doi:10.1016/j.socscimed.2015.10.044</w:t>
      </w:r>
    </w:p>
    <w:p>
      <w:pPr>
        <w:numPr>
          <w:ilvl w:val="0"/>
          <w:numId w:val="1002"/>
        </w:numPr>
      </w:pPr>
      <w:r>
        <w:t xml:space="preserve">Haushofer J, Shapiro J. The short-term impact of unconditional cash transfers to the poor: experimental evidence from Kenya. Q J Econ. 2016;131(4):1973-2042. doi:10.1093/qje/qjw025</w:t>
      </w:r>
    </w:p>
    <w:p>
      <w:pPr>
        <w:numPr>
          <w:ilvl w:val="0"/>
          <w:numId w:val="1002"/>
        </w:numPr>
      </w:pPr>
      <w:r>
        <w:t xml:space="preserve">Kirkbride JB, Anglin DM, Colman I, Dykxhoorn J, Jones PB, Patalay P, Pitman A, Soneson E, Steare T, Wright T, Griffiths SL. The social determinants of mental health and disorder: evidence, prevention and recommendations. World Psychiatry. 2024;23(1):58-90. doi:10.1002/wps.21160</w:t>
      </w:r>
    </w:p>
    <w:p>
      <w:pPr>
        <w:numPr>
          <w:ilvl w:val="0"/>
          <w:numId w:val="1002"/>
        </w:numPr>
      </w:pPr>
      <w:r>
        <w:t xml:space="preserve">McGuire J, Kaiser C, Bach-Mortensen AM. A systematic review and meta-analysis of the impact of cash transfers on subjective well-being and mental health in low- and middle-income countries. Nat Hum Behav. 2022;6(3):359-370. doi:10.1038/s41562-021-01252-z</w:t>
      </w:r>
    </w:p>
    <w:p>
      <w:pPr>
        <w:numPr>
          <w:ilvl w:val="0"/>
          <w:numId w:val="1002"/>
        </w:numPr>
      </w:pPr>
      <w:r>
        <w:t xml:space="preserve">Guan N, Guariglia A, Moore P, Xu F, Al-Janabi H. Financial stress and depression in adults: a systematic review. PLoS One. 2022;17(2):e0264041. doi:10.1371/journal.pone.0264041</w:t>
      </w:r>
    </w:p>
    <w:p>
      <w:pPr>
        <w:numPr>
          <w:ilvl w:val="0"/>
          <w:numId w:val="1002"/>
        </w:numPr>
      </w:pPr>
      <w:r>
        <w:t xml:space="preserve">Hossain MM, Rahman M, Trisha NF, Tasnim S, Nuzhath T, Hasan NT, Clark H, Das A, McKyer ELJ, Ahmed HU, Ma P. Prevalence of anxiety and depression in South Asia during COVID-19: a systematic review and meta-analysis. Heliyon. 2021;7(4):e06677. doi:10.1016/j.heliyon.2021.e06677</w:t>
      </w:r>
    </w:p>
    <w:p>
      <w:pPr>
        <w:numPr>
          <w:ilvl w:val="0"/>
          <w:numId w:val="1002"/>
        </w:numPr>
      </w:pPr>
      <w:r>
        <w:t xml:space="preserve">Pappa S, Chen J, Barnett J, Chang A, Dong RK, Xu W, Yin A, Chen BZ, Delios AY, Chen RZ, Miller S, Wan X, Zhang SX. A systematic review and meta-analysis of the mental health symptoms during the COVID-19 pandemic in Southeast Asia. Psychiatry Clin Neurosci. 2022;76(2):41-50. doi:10.1111/pcn.13306</w:t>
      </w:r>
    </w:p>
    <w:p>
      <w:r>
        <w:pict>
          <v:rect style="width:0;height:1.5pt" o:hralign="center" o:hrstd="t" o:hr="t"/>
        </w:pict>
      </w:r>
    </w:p>
    <w:bookmarkEnd w:id="20"/>
    <w:bookmarkStart w:id="25" w:name="verification-report-updated"/>
    <w:p>
      <w:pPr>
        <w:pStyle w:val="Heading1"/>
      </w:pPr>
      <w:r>
        <w:t xml:space="preserve">Verification Report (updated)</w:t>
      </w:r>
    </w:p>
    <w:bookmarkStart w:id="21" w:name="逐条验证"/>
    <w:p>
      <w:pPr>
        <w:pStyle w:val="Heading2"/>
      </w:pPr>
      <w:r>
        <w:t xml:space="preserve">逐条验证</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引文</w:t>
            </w:r>
          </w:p>
        </w:tc>
        <w:tc>
          <w:tcPr/>
          <w:p>
            <w:pPr>
              <w:pStyle w:val="Compact"/>
              <w:jc w:val="left"/>
            </w:pPr>
            <w:r>
              <w:t xml:space="preserve">存在</w:t>
            </w:r>
          </w:p>
        </w:tc>
        <w:tc>
          <w:tcPr/>
          <w:p>
            <w:pPr>
              <w:pStyle w:val="Compact"/>
              <w:jc w:val="left"/>
            </w:pPr>
            <w:r>
              <w:t xml:space="preserve">准确</w:t>
            </w:r>
          </w:p>
        </w:tc>
        <w:tc>
          <w:tcPr/>
          <w:p>
            <w:pPr>
              <w:pStyle w:val="Compact"/>
              <w:jc w:val="left"/>
            </w:pPr>
            <w:r>
              <w:t xml:space="preserve">支撑</w:t>
            </w:r>
          </w:p>
        </w:tc>
        <w:tc>
          <w:tcPr/>
          <w:p>
            <w:pPr>
              <w:pStyle w:val="Compact"/>
              <w:jc w:val="left"/>
            </w:pPr>
            <w:r>
              <w:t xml:space="preserve">备注</w:t>
            </w:r>
          </w:p>
        </w:tc>
      </w:tr>
      <w:tr>
        <w:tc>
          <w:tcPr/>
          <w:p>
            <w:pPr>
              <w:pStyle w:val="Compact"/>
              <w:jc w:val="left"/>
            </w:pPr>
            <w:r>
              <w:t xml:space="preserve">1</w:t>
            </w:r>
          </w:p>
        </w:tc>
        <w:tc>
          <w:tcPr/>
          <w:p>
            <w:pPr>
              <w:pStyle w:val="Compact"/>
              <w:jc w:val="left"/>
            </w:pPr>
            <w:r>
              <w:t xml:space="preserve">Rajkumar 2020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Asian J Psychiatry</w:t>
            </w:r>
            <w:r>
              <w:t xml:space="preserve"> </w:t>
            </w:r>
            <w:r>
              <w:t xml:space="preserve">52:102066。被引4800+。LMIC/亚洲视角</w:t>
            </w:r>
          </w:p>
        </w:tc>
      </w:tr>
      <w:tr>
        <w:tc>
          <w:tcPr/>
          <w:p>
            <w:pPr>
              <w:pStyle w:val="Compact"/>
              <w:jc w:val="left"/>
            </w:pPr>
            <w:r>
              <w:t xml:space="preserve">2</w:t>
            </w:r>
          </w:p>
        </w:tc>
        <w:tc>
          <w:tcPr/>
          <w:p>
            <w:pPr>
              <w:pStyle w:val="Compact"/>
              <w:jc w:val="left"/>
            </w:pPr>
            <w:r>
              <w:t xml:space="preserve">Nochaiwong et al. 2021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Sci Rep</w:t>
            </w:r>
            <w:r>
              <w:t xml:space="preserve">。全球meta-analysis</w:t>
            </w:r>
          </w:p>
        </w:tc>
      </w:tr>
      <w:tr>
        <w:tc>
          <w:tcPr/>
          <w:p>
            <w:pPr>
              <w:pStyle w:val="Compact"/>
              <w:jc w:val="left"/>
            </w:pPr>
            <w:r>
              <w:t xml:space="preserve">3</w:t>
            </w:r>
          </w:p>
        </w:tc>
        <w:tc>
          <w:tcPr/>
          <w:p>
            <w:pPr>
              <w:pStyle w:val="Compact"/>
              <w:jc w:val="left"/>
            </w:pPr>
            <w:r>
              <w:t xml:space="preserve">Santomauro et al. 2021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Lancet</w:t>
            </w:r>
            <w:r>
              <w:t xml:space="preserve"> </w:t>
            </w:r>
            <w:r>
              <w:t xml:space="preserve">GBD study</w:t>
            </w:r>
          </w:p>
        </w:tc>
      </w:tr>
      <w:tr>
        <w:tc>
          <w:tcPr/>
          <w:p>
            <w:pPr>
              <w:pStyle w:val="Compact"/>
              <w:jc w:val="left"/>
            </w:pPr>
            <w:r>
              <w:t xml:space="preserve">4</w:t>
            </w:r>
          </w:p>
        </w:tc>
        <w:tc>
          <w:tcPr/>
          <w:p>
            <w:pPr>
              <w:pStyle w:val="Compact"/>
              <w:jc w:val="left"/>
            </w:pPr>
            <w:r>
              <w:t xml:space="preserve">Lund et al. 2018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Lancet Psychiatry</w:t>
            </w:r>
            <w:r>
              <w:t xml:space="preserve"> </w:t>
            </w:r>
            <w:r>
              <w:t xml:space="preserve">系统综述</w:t>
            </w:r>
          </w:p>
        </w:tc>
      </w:tr>
      <w:tr>
        <w:tc>
          <w:tcPr/>
          <w:p>
            <w:pPr>
              <w:pStyle w:val="Compact"/>
              <w:jc w:val="left"/>
            </w:pPr>
            <w:r>
              <w:t xml:space="preserve">5</w:t>
            </w:r>
          </w:p>
        </w:tc>
        <w:tc>
          <w:tcPr/>
          <w:p>
            <w:pPr>
              <w:pStyle w:val="Compact"/>
              <w:jc w:val="left"/>
            </w:pPr>
            <w:r>
              <w:t xml:space="preserve">Patel et al. 2018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Lancet</w:t>
            </w:r>
            <w:r>
              <w:t xml:space="preserve"> </w:t>
            </w:r>
            <w:r>
              <w:t xml:space="preserve">Commission</w:t>
            </w:r>
          </w:p>
        </w:tc>
      </w:tr>
      <w:tr>
        <w:tc>
          <w:tcPr/>
          <w:p>
            <w:pPr>
              <w:pStyle w:val="Compact"/>
              <w:jc w:val="left"/>
            </w:pPr>
            <w:r>
              <w:t xml:space="preserve">6</w:t>
            </w:r>
          </w:p>
        </w:tc>
        <w:tc>
          <w:tcPr/>
          <w:p>
            <w:pPr>
              <w:pStyle w:val="Compact"/>
              <w:jc w:val="left"/>
            </w:pPr>
            <w:r>
              <w:t xml:space="preserve">Vindegaard &amp; Benros 2020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Brain Behav Immun</w:t>
            </w:r>
            <w:r>
              <w:t xml:space="preserve"> </w:t>
            </w:r>
            <w:r>
              <w:t xml:space="preserve">系统综述</w:t>
            </w:r>
          </w:p>
        </w:tc>
      </w:tr>
      <w:tr>
        <w:tc>
          <w:tcPr/>
          <w:p>
            <w:pPr>
              <w:pStyle w:val="Compact"/>
              <w:jc w:val="left"/>
            </w:pPr>
            <w:r>
              <w:t xml:space="preserve">7</w:t>
            </w:r>
          </w:p>
        </w:tc>
        <w:tc>
          <w:tcPr/>
          <w:p>
            <w:pPr>
              <w:pStyle w:val="Compact"/>
              <w:jc w:val="left"/>
            </w:pPr>
            <w:r>
              <w:t xml:space="preserve">Xiong et al. 2020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J Affect Disord</w:t>
            </w:r>
            <w:r>
              <w:t xml:space="preserve"> </w:t>
            </w:r>
            <w:r>
              <w:t xml:space="preserve">系统综述</w:t>
            </w:r>
          </w:p>
        </w:tc>
      </w:tr>
      <w:tr>
        <w:tc>
          <w:tcPr/>
          <w:p>
            <w:pPr>
              <w:pStyle w:val="Compact"/>
              <w:jc w:val="left"/>
            </w:pPr>
            <w:r>
              <w:t xml:space="preserve">8</w:t>
            </w:r>
          </w:p>
        </w:tc>
        <w:tc>
          <w:tcPr/>
          <w:p>
            <w:pPr>
              <w:pStyle w:val="Compact"/>
              <w:jc w:val="left"/>
            </w:pPr>
            <w:r>
              <w:t xml:space="preserve">Lovibond &amp; Lovibond 1995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DASS量表原始文献</w:t>
            </w:r>
          </w:p>
        </w:tc>
      </w:tr>
      <w:tr>
        <w:tc>
          <w:tcPr/>
          <w:p>
            <w:pPr>
              <w:pStyle w:val="Compact"/>
              <w:jc w:val="left"/>
            </w:pPr>
            <w:r>
              <w:t xml:space="preserve">9</w:t>
            </w:r>
          </w:p>
        </w:tc>
        <w:tc>
          <w:tcPr/>
          <w:p>
            <w:pPr>
              <w:pStyle w:val="Compact"/>
              <w:jc w:val="left"/>
            </w:pPr>
            <w:r>
              <w:t xml:space="preserve">Clark &amp; Watson 1991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三方模型。</w:t>
            </w:r>
            <w:r>
              <w:rPr>
                <w:iCs/>
                <w:i/>
              </w:rPr>
              <w:t xml:space="preserve">J Abnorm Psychol</w:t>
            </w:r>
            <w:r>
              <w:t xml:space="preserve"> </w:t>
            </w:r>
            <w:r>
              <w:t xml:space="preserve">100(3):316-336</w:t>
            </w:r>
          </w:p>
        </w:tc>
      </w:tr>
      <w:tr>
        <w:tc>
          <w:tcPr/>
          <w:p>
            <w:pPr>
              <w:pStyle w:val="Compact"/>
              <w:jc w:val="left"/>
            </w:pPr>
            <w:r>
              <w:t xml:space="preserve">10</w:t>
            </w:r>
          </w:p>
        </w:tc>
        <w:tc>
          <w:tcPr/>
          <w:p>
            <w:pPr>
              <w:pStyle w:val="Compact"/>
              <w:jc w:val="left"/>
            </w:pPr>
            <w:r>
              <w:t xml:space="preserve">Lenzo et al. 2021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意大利HCWs，DASS-21，三subscale不同预测因子</w:t>
            </w:r>
          </w:p>
        </w:tc>
      </w:tr>
      <w:tr>
        <w:tc>
          <w:tcPr/>
          <w:p>
            <w:pPr>
              <w:pStyle w:val="Compact"/>
              <w:jc w:val="left"/>
            </w:pPr>
            <w:r>
              <w:t xml:space="preserve">11</w:t>
            </w:r>
          </w:p>
        </w:tc>
        <w:tc>
          <w:tcPr/>
          <w:p>
            <w:pPr>
              <w:pStyle w:val="Compact"/>
              <w:jc w:val="left"/>
            </w:pPr>
            <w:r>
              <w:t xml:space="preserve">Pandey et al. 2021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PMID 33510505确认。Nurses/lab比doctors更可能有anxiety（摘要可见）。Occupation对depression/stress不显著仍需全文Table 5确认</w:t>
            </w:r>
          </w:p>
        </w:tc>
      </w:tr>
      <w:tr>
        <w:tc>
          <w:tcPr/>
          <w:p>
            <w:pPr>
              <w:pStyle w:val="Compact"/>
              <w:jc w:val="left"/>
            </w:pPr>
            <w:r>
              <w:t xml:space="preserve">12</w:t>
            </w:r>
          </w:p>
        </w:tc>
        <w:tc>
          <w:tcPr/>
          <w:p>
            <w:pPr>
              <w:pStyle w:val="Compact"/>
              <w:jc w:val="left"/>
            </w:pPr>
            <w:r>
              <w:t xml:space="preserve">Poudel et al. 2023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全文Table 7已确认</w:t>
            </w:r>
            <w:r>
              <w:t xml:space="preserve">。Disturbed family relation: depression OR=1.02 p=0.965（不显著）, anxiety OR=1.97 p=0.042, stress OR=3.96 p=0.004。COVID-19 infected: depression p=0.006, anxiety p=0.040, stress p=0.534（不显著）</w:t>
            </w:r>
          </w:p>
        </w:tc>
      </w:tr>
      <w:tr>
        <w:tc>
          <w:tcPr/>
          <w:p>
            <w:pPr>
              <w:pStyle w:val="Compact"/>
              <w:jc w:val="left"/>
            </w:pPr>
            <w:r>
              <w:t xml:space="preserve">13</w:t>
            </w:r>
          </w:p>
        </w:tc>
        <w:tc>
          <w:tcPr/>
          <w:p>
            <w:pPr>
              <w:pStyle w:val="Compact"/>
              <w:jc w:val="left"/>
            </w:pPr>
            <w:r>
              <w:t xml:space="preserve">Salari et al. 2020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Global Health</w:t>
            </w:r>
            <w:r>
              <w:t xml:space="preserve"> </w:t>
            </w:r>
            <w:r>
              <w:t xml:space="preserve">meta-analysis</w:t>
            </w:r>
          </w:p>
        </w:tc>
      </w:tr>
      <w:tr>
        <w:tc>
          <w:tcPr/>
          <w:p>
            <w:pPr>
              <w:pStyle w:val="Compact"/>
              <w:jc w:val="left"/>
            </w:pPr>
            <w:r>
              <w:t xml:space="preserve">14</w:t>
            </w:r>
          </w:p>
        </w:tc>
        <w:tc>
          <w:tcPr/>
          <w:p>
            <w:pPr>
              <w:pStyle w:val="Compact"/>
              <w:jc w:val="left"/>
            </w:pPr>
            <w:r>
              <w:t xml:space="preserve">Ahorsu et al. 2020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FCV-19S单维量表</w:t>
            </w:r>
          </w:p>
        </w:tc>
      </w:tr>
      <w:tr>
        <w:tc>
          <w:tcPr/>
          <w:p>
            <w:pPr>
              <w:pStyle w:val="Compact"/>
              <w:jc w:val="left"/>
            </w:pPr>
            <w:r>
              <w:t xml:space="preserve">15</w:t>
            </w:r>
          </w:p>
        </w:tc>
        <w:tc>
          <w:tcPr/>
          <w:p>
            <w:pPr>
              <w:pStyle w:val="Compact"/>
              <w:jc w:val="left"/>
            </w:pPr>
            <w:r>
              <w:t xml:space="preserve">Taylor et al. 2020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CSS 5-factor结构</w:t>
            </w:r>
          </w:p>
        </w:tc>
      </w:tr>
      <w:tr>
        <w:tc>
          <w:tcPr/>
          <w:p>
            <w:pPr>
              <w:pStyle w:val="Compact"/>
              <w:jc w:val="left"/>
            </w:pPr>
            <w:r>
              <w:t xml:space="preserve">16</w:t>
            </w:r>
          </w:p>
        </w:tc>
        <w:tc>
          <w:tcPr/>
          <w:p>
            <w:pPr>
              <w:pStyle w:val="Compact"/>
              <w:jc w:val="left"/>
            </w:pPr>
            <w:r>
              <w:t xml:space="preserve">Pearlin et al. 1981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全文PDF已确认</w:t>
            </w:r>
            <w:r>
              <w:t xml:space="preserve">。作者顺序：Pearlin LI, Menaghan EG, Lieberman MA, Mullan JT（之前顺序有误，已修正）。</w:t>
            </w:r>
            <w:r>
              <w:rPr>
                <w:iCs/>
                <w:i/>
              </w:rPr>
              <w:t xml:space="preserve">J Health Soc Behav</w:t>
            </w:r>
            <w:r>
              <w:t xml:space="preserve"> </w:t>
            </w:r>
            <w:r>
              <w:t xml:space="preserve">22(4):337-356</w:t>
            </w:r>
          </w:p>
        </w:tc>
      </w:tr>
      <w:tr>
        <w:tc>
          <w:tcPr/>
          <w:p>
            <w:pPr>
              <w:pStyle w:val="Compact"/>
              <w:jc w:val="left"/>
            </w:pPr>
            <w:r>
              <w:t xml:space="preserve">17</w:t>
            </w:r>
          </w:p>
        </w:tc>
        <w:tc>
          <w:tcPr/>
          <w:p>
            <w:pPr>
              <w:pStyle w:val="Compact"/>
              <w:jc w:val="left"/>
            </w:pPr>
            <w:r>
              <w:t xml:space="preserve">Pearlin et al. 2005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存在确认。作者Pearlin, Schieman, Fazio, Meersman。请在引文管理器中核对</w:t>
            </w:r>
          </w:p>
        </w:tc>
      </w:tr>
      <w:tr>
        <w:tc>
          <w:tcPr/>
          <w:p>
            <w:pPr>
              <w:pStyle w:val="Compact"/>
              <w:jc w:val="left"/>
            </w:pPr>
            <w:r>
              <w:t xml:space="preserve">18</w:t>
            </w:r>
          </w:p>
        </w:tc>
        <w:tc>
          <w:tcPr/>
          <w:p>
            <w:pPr>
              <w:pStyle w:val="Compact"/>
              <w:jc w:val="left"/>
            </w:pPr>
            <w:r>
              <w:t xml:space="preserve">Pearlin &amp; Bierman 2013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Handbook of the Sociology of Mental Health</w:t>
            </w:r>
            <w:r>
              <w:t xml:space="preserve"> </w:t>
            </w:r>
            <w:r>
              <w:t xml:space="preserve">2nd ed.</w:t>
            </w:r>
          </w:p>
        </w:tc>
      </w:tr>
      <w:tr>
        <w:tc>
          <w:tcPr/>
          <w:p>
            <w:pPr>
              <w:pStyle w:val="Compact"/>
              <w:jc w:val="left"/>
            </w:pPr>
            <w:r>
              <w:t xml:space="preserve">19</w:t>
            </w:r>
          </w:p>
        </w:tc>
        <w:tc>
          <w:tcPr/>
          <w:p>
            <w:pPr>
              <w:pStyle w:val="Compact"/>
              <w:jc w:val="left"/>
            </w:pPr>
            <w:r>
              <w:t xml:space="preserve">Hobfoll 1989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Am Psychol</w:t>
            </w:r>
            <w:r>
              <w:t xml:space="preserve"> </w:t>
            </w:r>
            <w:r>
              <w:t xml:space="preserve">44(3):513-524</w:t>
            </w:r>
          </w:p>
        </w:tc>
      </w:tr>
      <w:tr>
        <w:tc>
          <w:tcPr/>
          <w:p>
            <w:pPr>
              <w:pStyle w:val="Compact"/>
              <w:jc w:val="left"/>
            </w:pPr>
            <w:r>
              <w:t xml:space="preserve">20</w:t>
            </w:r>
          </w:p>
        </w:tc>
        <w:tc>
          <w:tcPr/>
          <w:p>
            <w:pPr>
              <w:pStyle w:val="Compact"/>
              <w:jc w:val="left"/>
            </w:pPr>
            <w:r>
              <w:t xml:space="preserve">Hobfoll 2001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Appl Psychol</w:t>
            </w:r>
            <w:r>
              <w:t xml:space="preserve"> </w:t>
            </w:r>
            <w:r>
              <w:t xml:space="preserve">50(3):337-421</w:t>
            </w:r>
          </w:p>
        </w:tc>
      </w:tr>
    </w:tbl>
    <w:bookmarkEnd w:id="21"/>
    <w:bookmarkStart w:id="22" w:name="汇总"/>
    <w:p>
      <w:pPr>
        <w:pStyle w:val="Heading2"/>
      </w:pPr>
      <w:r>
        <w:t xml:space="preserve">汇总</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状态</w:t>
            </w:r>
          </w:p>
        </w:tc>
        <w:tc>
          <w:tcPr/>
          <w:p>
            <w:pPr>
              <w:pStyle w:val="Compact"/>
              <w:jc w:val="left"/>
            </w:pPr>
            <w:r>
              <w:t xml:space="preserve">数量</w:t>
            </w:r>
          </w:p>
        </w:tc>
      </w:tr>
      <w:tr>
        <w:tc>
          <w:tcPr/>
          <w:p>
            <w:pPr>
              <w:pStyle w:val="Compact"/>
              <w:jc w:val="left"/>
            </w:pPr>
            <w:r>
              <w:t xml:space="preserve">✅✅✅ 全部通过</w:t>
            </w:r>
          </w:p>
        </w:tc>
        <w:tc>
          <w:tcPr/>
          <w:p>
            <w:pPr>
              <w:pStyle w:val="Compact"/>
              <w:jc w:val="left"/>
            </w:pPr>
            <w:r>
              <w:rPr>
                <w:bCs/>
                <w:b/>
              </w:rPr>
              <w:t xml:space="preserve">18/20</w:t>
            </w:r>
          </w:p>
        </w:tc>
      </w:tr>
      <w:tr>
        <w:tc>
          <w:tcPr/>
          <w:p>
            <w:pPr>
              <w:pStyle w:val="Compact"/>
              <w:jc w:val="left"/>
            </w:pPr>
            <w:r>
              <w:t xml:space="preserve">含 ⚠️ 需确认</w:t>
            </w:r>
          </w:p>
        </w:tc>
        <w:tc>
          <w:tcPr/>
          <w:p>
            <w:pPr>
              <w:pStyle w:val="Compact"/>
              <w:jc w:val="left"/>
            </w:pPr>
            <w:r>
              <w:rPr>
                <w:bCs/>
                <w:b/>
              </w:rPr>
              <w:t xml:space="preserve">2/20</w:t>
            </w:r>
          </w:p>
        </w:tc>
      </w:tr>
      <w:tr>
        <w:tc>
          <w:tcPr/>
          <w:p>
            <w:pPr>
              <w:pStyle w:val="Compact"/>
              <w:jc w:val="left"/>
            </w:pPr>
            <w:r>
              <w:t xml:space="preserve">❌ 虚构/错误</w:t>
            </w:r>
          </w:p>
        </w:tc>
        <w:tc>
          <w:tcPr/>
          <w:p>
            <w:pPr>
              <w:pStyle w:val="Compact"/>
              <w:jc w:val="left"/>
            </w:pPr>
            <w:r>
              <w:t xml:space="preserve">0/20</w:t>
            </w:r>
          </w:p>
        </w:tc>
      </w:tr>
      <w:tr>
        <w:tc>
          <w:tcPr/>
          <w:p>
            <w:pPr>
              <w:pStyle w:val="Compact"/>
              <w:jc w:val="left"/>
            </w:pPr>
            <w:r>
              <w:t xml:space="preserve">🚫 被撤稿</w:t>
            </w:r>
          </w:p>
        </w:tc>
        <w:tc>
          <w:tcPr/>
          <w:p>
            <w:pPr>
              <w:pStyle w:val="Compact"/>
              <w:jc w:val="left"/>
            </w:pPr>
            <w:r>
              <w:t xml:space="preserve">0/20</w:t>
            </w:r>
          </w:p>
        </w:tc>
      </w:tr>
    </w:tbl>
    <w:bookmarkEnd w:id="22"/>
    <w:bookmarkStart w:id="23" w:name="本次修正记录"/>
    <w:p>
      <w:pPr>
        <w:pStyle w:val="Heading2"/>
      </w:pPr>
      <w:r>
        <w:t xml:space="preserve">本次修正记录</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修正</w:t>
            </w:r>
          </w:p>
        </w:tc>
        <w:tc>
          <w:tcPr/>
          <w:p>
            <w:pPr>
              <w:pStyle w:val="Compact"/>
              <w:jc w:val="left"/>
            </w:pPr>
            <w:r>
              <w:t xml:space="preserve">旧</w:t>
            </w:r>
          </w:p>
        </w:tc>
        <w:tc>
          <w:tcPr/>
          <w:p>
            <w:pPr>
              <w:pStyle w:val="Compact"/>
              <w:jc w:val="left"/>
            </w:pPr>
            <w:r>
              <w:t xml:space="preserve">新</w:t>
            </w:r>
          </w:p>
        </w:tc>
      </w:tr>
      <w:tr>
        <w:tc>
          <w:tcPr/>
          <w:p>
            <w:pPr>
              <w:pStyle w:val="Compact"/>
              <w:jc w:val="left"/>
            </w:pPr>
            <w:r>
              <w:t xml:space="preserve">Pearlin 1981 作者顺序</w:t>
            </w:r>
          </w:p>
        </w:tc>
        <w:tc>
          <w:tcPr/>
          <w:p>
            <w:pPr>
              <w:pStyle w:val="Compact"/>
              <w:jc w:val="left"/>
            </w:pPr>
            <w:r>
              <w:t xml:space="preserve">Pearlin, Lieberman, Menaghan, Mullan</w:t>
            </w:r>
          </w:p>
        </w:tc>
        <w:tc>
          <w:tcPr/>
          <w:p>
            <w:pPr>
              <w:pStyle w:val="Compact"/>
              <w:jc w:val="left"/>
            </w:pPr>
            <w:r>
              <w:rPr>
                <w:bCs/>
                <w:b/>
              </w:rPr>
              <w:t xml:space="preserve">Pearlin, Menaghan, Lieberman, Mullan</w:t>
            </w:r>
            <w:r>
              <w:t xml:space="preserve">（全文PDF p.2确认）</w:t>
            </w:r>
          </w:p>
        </w:tc>
      </w:tr>
      <w:tr>
        <w:tc>
          <w:tcPr/>
          <w:p>
            <w:pPr>
              <w:pStyle w:val="Compact"/>
              <w:jc w:val="left"/>
            </w:pPr>
            <w:r>
              <w:t xml:space="preserve">Poudel 2023 第一作者</w:t>
            </w:r>
          </w:p>
        </w:tc>
        <w:tc>
          <w:tcPr/>
          <w:p>
            <w:pPr>
              <w:pStyle w:val="Compact"/>
              <w:jc w:val="left"/>
            </w:pPr>
            <w:r>
              <w:t xml:space="preserve">Poudel R</w:t>
            </w:r>
          </w:p>
        </w:tc>
        <w:tc>
          <w:tcPr/>
          <w:p>
            <w:pPr>
              <w:pStyle w:val="Compact"/>
              <w:jc w:val="left"/>
            </w:pPr>
            <w:r>
              <w:rPr>
                <w:bCs/>
                <w:b/>
              </w:rPr>
              <w:t xml:space="preserve">Poudel A</w:t>
            </w:r>
            <w:r>
              <w:t xml:space="preserve"> </w:t>
            </w:r>
            <w:r>
              <w:t xml:space="preserve">(Anju Poudel, Tribhuvan University)</w:t>
            </w:r>
          </w:p>
        </w:tc>
      </w:tr>
      <w:tr>
        <w:tc>
          <w:tcPr/>
          <w:p>
            <w:pPr>
              <w:pStyle w:val="Compact"/>
              <w:jc w:val="left"/>
            </w:pPr>
            <w:r>
              <w:t xml:space="preserve">引用格式</w:t>
            </w:r>
          </w:p>
        </w:tc>
        <w:tc>
          <w:tcPr/>
          <w:p>
            <w:pPr>
              <w:pStyle w:val="Compact"/>
              <w:jc w:val="left"/>
            </w:pPr>
            <w:r>
              <w:t xml:space="preserve">APA 7th (author-year)</w:t>
            </w:r>
          </w:p>
        </w:tc>
        <w:tc>
          <w:tcPr/>
          <w:p>
            <w:pPr>
              <w:pStyle w:val="Compact"/>
              <w:jc w:val="left"/>
            </w:pPr>
            <w:r>
              <w:rPr>
                <w:bCs/>
                <w:b/>
              </w:rPr>
              <w:t xml:space="preserve">Vancouver (numbered)</w:t>
            </w:r>
          </w:p>
        </w:tc>
      </w:tr>
    </w:tbl>
    <w:bookmarkEnd w:id="23"/>
    <w:bookmarkStart w:id="24" w:name="剩余2个待确认点"/>
    <w:p>
      <w:pPr>
        <w:pStyle w:val="Heading2"/>
      </w:pPr>
      <w:r>
        <w:t xml:space="preserve">剩余2个待确认点</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优先级</w:t>
            </w:r>
          </w:p>
        </w:tc>
        <w:tc>
          <w:tcPr/>
          <w:p>
            <w:pPr>
              <w:pStyle w:val="Compact"/>
              <w:jc w:val="left"/>
            </w:pPr>
            <w:r>
              <w:t xml:space="preserve">引文</w:t>
            </w:r>
          </w:p>
        </w:tc>
        <w:tc>
          <w:tcPr/>
          <w:p>
            <w:pPr>
              <w:pStyle w:val="Compact"/>
              <w:jc w:val="left"/>
            </w:pPr>
            <w:r>
              <w:t xml:space="preserve">要确认什么</w:t>
            </w:r>
          </w:p>
        </w:tc>
      </w:tr>
      <w:tr>
        <w:tc>
          <w:tcPr/>
          <w:p>
            <w:pPr>
              <w:pStyle w:val="Compact"/>
              <w:jc w:val="left"/>
            </w:pPr>
            <w:r>
              <w:t xml:space="preserve">🟡</w:t>
            </w:r>
          </w:p>
        </w:tc>
        <w:tc>
          <w:tcPr/>
          <w:p>
            <w:pPr>
              <w:pStyle w:val="Compact"/>
              <w:jc w:val="left"/>
            </w:pPr>
            <w:r>
              <w:rPr>
                <w:bCs/>
                <w:b/>
              </w:rPr>
              <w:t xml:space="preserve">Pandey et al. [11]</w:t>
            </w:r>
          </w:p>
        </w:tc>
        <w:tc>
          <w:tcPr/>
          <w:p>
            <w:pPr>
              <w:pStyle w:val="Compact"/>
              <w:jc w:val="left"/>
            </w:pPr>
            <w:r>
              <w:t xml:space="preserve">全文Table 5：occupation对depression和stress的OR/p值。摘要已确认occupation→anxiety。如果打不开全文，当前保守措辞可用</w:t>
            </w:r>
          </w:p>
        </w:tc>
      </w:tr>
      <w:tr>
        <w:tc>
          <w:tcPr/>
          <w:p>
            <w:pPr>
              <w:pStyle w:val="Compact"/>
              <w:jc w:val="left"/>
            </w:pPr>
            <w:r>
              <w:t xml:space="preserve">🟡</w:t>
            </w:r>
          </w:p>
        </w:tc>
        <w:tc>
          <w:tcPr/>
          <w:p>
            <w:pPr>
              <w:pStyle w:val="Compact"/>
              <w:jc w:val="left"/>
            </w:pPr>
            <w:r>
              <w:rPr>
                <w:bCs/>
                <w:b/>
              </w:rPr>
              <w:t xml:space="preserve">Pearlin et al. [17]</w:t>
            </w:r>
          </w:p>
        </w:tc>
        <w:tc>
          <w:tcPr/>
          <w:p>
            <w:pPr>
              <w:pStyle w:val="Compact"/>
              <w:jc w:val="left"/>
            </w:pPr>
            <w:r>
              <w:t xml:space="preserve">在引文管理器中确认2005那篇的完整信息</w:t>
            </w:r>
          </w:p>
        </w:tc>
      </w:tr>
    </w:tbl>
    <w:p>
      <w:r>
        <w:pict>
          <v:rect style="width:0;height:1.5pt" o:hralign="center" o:hrstd="t" o:hr="t"/>
        </w:pict>
      </w:r>
    </w:p>
    <w:bookmarkEnd w:id="24"/>
    <w:bookmarkEnd w:id="25"/>
    <w:bookmarkStart w:id="30" w:name="Xb36e61b7064073fa7e37ce7644b049133fcd5fe"/>
    <w:p>
      <w:pPr>
        <w:pStyle w:val="Heading1"/>
      </w:pPr>
      <w:r>
        <w:t xml:space="preserve">Verification Report — Methods references [21]–[45]</w:t>
      </w:r>
    </w:p>
    <w:bookmarkStart w:id="26" w:name="逐条验证-1"/>
    <w:p>
      <w:pPr>
        <w:pStyle w:val="Heading2"/>
      </w:pPr>
      <w:r>
        <w:t xml:space="preserve">逐条验证</w:t>
      </w:r>
    </w:p>
    <w:tbl>
      <w:tblPr>
        <w:tblStyle w:val="Table"/>
        <w:tblW w:type="pct" w:w="5000"/>
        <w:tblLook w:firstRow="1" w:lastRow="0" w:firstColumn="0" w:lastColumn="0" w:noHBand="0" w:noVBand="0" w:val="0020"/>
        <w:jc w:val="start"/>
        <w:tblLayout w:type="fixed"/>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引文</w:t>
            </w:r>
          </w:p>
        </w:tc>
        <w:tc>
          <w:tcPr/>
          <w:p>
            <w:pPr>
              <w:pStyle w:val="Compact"/>
              <w:jc w:val="left"/>
            </w:pPr>
            <w:r>
              <w:t xml:space="preserve">文中位置</w:t>
            </w:r>
          </w:p>
        </w:tc>
        <w:tc>
          <w:tcPr/>
          <w:p>
            <w:pPr>
              <w:pStyle w:val="Compact"/>
              <w:jc w:val="left"/>
            </w:pPr>
            <w:r>
              <w:t xml:space="preserve">文中claim</w:t>
            </w:r>
          </w:p>
        </w:tc>
        <w:tc>
          <w:tcPr/>
          <w:p>
            <w:pPr>
              <w:pStyle w:val="Compact"/>
              <w:jc w:val="left"/>
            </w:pPr>
            <w:r>
              <w:t xml:space="preserve">存在</w:t>
            </w:r>
          </w:p>
        </w:tc>
        <w:tc>
          <w:tcPr/>
          <w:p>
            <w:pPr>
              <w:pStyle w:val="Compact"/>
              <w:jc w:val="left"/>
            </w:pPr>
            <w:r>
              <w:t xml:space="preserve">准确</w:t>
            </w:r>
          </w:p>
        </w:tc>
        <w:tc>
          <w:tcPr/>
          <w:p>
            <w:pPr>
              <w:pStyle w:val="Compact"/>
              <w:jc w:val="left"/>
            </w:pPr>
            <w:r>
              <w:t xml:space="preserve">支撑</w:t>
            </w:r>
          </w:p>
        </w:tc>
        <w:tc>
          <w:tcPr/>
          <w:p>
            <w:pPr>
              <w:pStyle w:val="Compact"/>
              <w:jc w:val="left"/>
            </w:pPr>
            <w:r>
              <w:t xml:space="preserve">备注</w:t>
            </w:r>
          </w:p>
        </w:tc>
      </w:tr>
      <w:tr>
        <w:tc>
          <w:tcPr/>
          <w:p>
            <w:pPr>
              <w:pStyle w:val="Compact"/>
              <w:jc w:val="left"/>
            </w:pPr>
            <w:r>
              <w:t xml:space="preserve">21</w:t>
            </w:r>
          </w:p>
        </w:tc>
        <w:tc>
          <w:tcPr/>
          <w:p>
            <w:pPr>
              <w:pStyle w:val="Compact"/>
              <w:jc w:val="left"/>
            </w:pPr>
            <w:r>
              <w:t xml:space="preserve">Van Nuil JI et al. 2021 (SPEAR protocol)</w:t>
            </w:r>
          </w:p>
        </w:tc>
        <w:tc>
          <w:tcPr/>
          <w:p>
            <w:pPr>
              <w:pStyle w:val="Compact"/>
              <w:jc w:val="left"/>
            </w:pPr>
            <w:r>
              <w:t xml:space="preserve">§2.1 / §2.2</w:t>
            </w:r>
          </w:p>
        </w:tc>
        <w:tc>
          <w:tcPr/>
          <w:p>
            <w:pPr>
              <w:pStyle w:val="Compact"/>
              <w:jc w:val="left"/>
            </w:pPr>
            <w:r>
              <w:t xml:space="preserve">数据来源、13 站点抽样与访谈程序</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Wellcome Open Res</w:t>
            </w:r>
            <w:r>
              <w:t xml:space="preserve"> </w:t>
            </w:r>
            <w:r>
              <w:t xml:space="preserve">6:352。DOI 10.12688/wellcomeopenres.17314.1。SPEAR 原始协议论文</w:t>
            </w:r>
          </w:p>
        </w:tc>
      </w:tr>
      <w:tr>
        <w:tc>
          <w:tcPr/>
          <w:p>
            <w:pPr>
              <w:pStyle w:val="Compact"/>
              <w:jc w:val="left"/>
            </w:pPr>
            <w:r>
              <w:t xml:space="preserve">22</w:t>
            </w:r>
          </w:p>
        </w:tc>
        <w:tc>
          <w:tcPr/>
          <w:p>
            <w:pPr>
              <w:pStyle w:val="Compact"/>
              <w:jc w:val="left"/>
            </w:pPr>
            <w:r>
              <w:t xml:space="preserve">von Elm et al. 2007 (STROBE)</w:t>
            </w:r>
          </w:p>
        </w:tc>
        <w:tc>
          <w:tcPr/>
          <w:p>
            <w:pPr>
              <w:pStyle w:val="Compact"/>
              <w:jc w:val="left"/>
            </w:pPr>
            <w:r>
              <w:t xml:space="preserve">§2.1</w:t>
            </w:r>
          </w:p>
        </w:tc>
        <w:tc>
          <w:tcPr/>
          <w:p>
            <w:pPr>
              <w:pStyle w:val="Compact"/>
              <w:jc w:val="left"/>
            </w:pPr>
            <w:r>
              <w:t xml:space="preserve">“</w:t>
            </w:r>
            <w:r>
              <w:t xml:space="preserve">Reporting follows the STROBE recommendations</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Lancet</w:t>
            </w:r>
            <w:r>
              <w:t xml:space="preserve"> </w:t>
            </w:r>
            <w:r>
              <w:t xml:space="preserve">370:1453-57。观察性研究报告规范 canonical 引文。被引 75,000+</w:t>
            </w:r>
          </w:p>
        </w:tc>
      </w:tr>
      <w:tr>
        <w:tc>
          <w:tcPr/>
          <w:p>
            <w:pPr>
              <w:pStyle w:val="Compact"/>
              <w:jc w:val="left"/>
            </w:pPr>
            <w:r>
              <w:t xml:space="preserve">23</w:t>
            </w:r>
          </w:p>
        </w:tc>
        <w:tc>
          <w:tcPr/>
          <w:p>
            <w:pPr>
              <w:pStyle w:val="Compact"/>
              <w:jc w:val="left"/>
            </w:pPr>
            <w:r>
              <w:t xml:space="preserve">Tonsing KN 2014</w:t>
            </w:r>
          </w:p>
        </w:tc>
        <w:tc>
          <w:tcPr/>
          <w:p>
            <w:pPr>
              <w:pStyle w:val="Compact"/>
              <w:jc w:val="left"/>
            </w:pPr>
            <w:r>
              <w:t xml:space="preserve">§2.2</w:t>
            </w:r>
          </w:p>
        </w:tc>
        <w:tc>
          <w:tcPr/>
          <w:p>
            <w:pPr>
              <w:pStyle w:val="Compact"/>
              <w:jc w:val="left"/>
            </w:pPr>
            <w:r>
              <w:t xml:space="preserve">“</w:t>
            </w:r>
            <w:r>
              <w:t xml:space="preserve">DASS-21 has been validated in Southeast Asian LMIC settings</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Asian J Psychiatry</w:t>
            </w:r>
            <w:r>
              <w:t xml:space="preserve"> </w:t>
            </w:r>
            <w:r>
              <w:t xml:space="preserve">8:63-66。</w:t>
            </w:r>
            <w:r>
              <w:rPr>
                <w:bCs/>
                <w:b/>
              </w:rPr>
              <w:t xml:space="preserve">Nepal 本土 DASS-21 validation</w:t>
            </w:r>
            <w:r>
              <w:t xml:space="preserve">，三国中 Nepal-specific。三因子结构、α &gt; 0.78；被引 180+。配合 [24] Le 2017 覆盖 Nepal + Vietnam 两国</w:t>
            </w:r>
          </w:p>
        </w:tc>
      </w:tr>
      <w:tr>
        <w:tc>
          <w:tcPr/>
          <w:p>
            <w:pPr>
              <w:pStyle w:val="Compact"/>
              <w:jc w:val="left"/>
            </w:pPr>
            <w:r>
              <w:t xml:space="preserve">24</w:t>
            </w:r>
          </w:p>
        </w:tc>
        <w:tc>
          <w:tcPr/>
          <w:p>
            <w:pPr>
              <w:pStyle w:val="Compact"/>
              <w:jc w:val="left"/>
            </w:pPr>
            <w:r>
              <w:t xml:space="preserve">Le et al. 2017</w:t>
            </w:r>
          </w:p>
        </w:tc>
        <w:tc>
          <w:tcPr/>
          <w:p>
            <w:pPr>
              <w:pStyle w:val="Compact"/>
              <w:jc w:val="left"/>
            </w:pPr>
            <w:r>
              <w:t xml:space="preserve">§2.2</w:t>
            </w:r>
          </w:p>
        </w:tc>
        <w:tc>
          <w:tcPr/>
          <w:p>
            <w:pPr>
              <w:pStyle w:val="Compact"/>
              <w:jc w:val="left"/>
            </w:pPr>
            <w:r>
              <w:t xml:space="preserve">同上</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PLoS One</w:t>
            </w:r>
            <w:r>
              <w:t xml:space="preserve"> </w:t>
            </w:r>
            <w:r>
              <w:t xml:space="preserve">12(7):e0180557。</w:t>
            </w:r>
            <w:r>
              <w:rPr>
                <w:bCs/>
                <w:b/>
              </w:rPr>
              <w:t xml:space="preserve">Vietnam 青少年 DASS-21 validation</w:t>
            </w:r>
            <w:r>
              <w:t xml:space="preserve"> </w:t>
            </w:r>
            <w:r>
              <w:t xml:space="preserve">— 越南是你三国之一，SE Asian LMIC 完美命中。开源全文可核</w:t>
            </w:r>
          </w:p>
        </w:tc>
      </w:tr>
      <w:tr>
        <w:tc>
          <w:tcPr/>
          <w:p>
            <w:pPr>
              <w:pStyle w:val="Compact"/>
              <w:jc w:val="left"/>
            </w:pPr>
            <w:r>
              <w:t xml:space="preserve">25</w:t>
            </w:r>
          </w:p>
        </w:tc>
        <w:tc>
          <w:tcPr/>
          <w:p>
            <w:pPr>
              <w:pStyle w:val="Compact"/>
              <w:jc w:val="left"/>
            </w:pPr>
            <w:r>
              <w:t xml:space="preserve">Olsson 1979</w:t>
            </w:r>
          </w:p>
        </w:tc>
        <w:tc>
          <w:tcPr/>
          <w:p>
            <w:pPr>
              <w:pStyle w:val="Compact"/>
              <w:jc w:val="left"/>
            </w:pPr>
            <w:r>
              <w:t xml:space="preserve">§2.3</w:t>
            </w:r>
          </w:p>
        </w:tc>
        <w:tc>
          <w:tcPr/>
          <w:p>
            <w:pPr>
              <w:pStyle w:val="Compact"/>
              <w:jc w:val="left"/>
            </w:pPr>
            <w:r>
              <w:t xml:space="preserve">“</w:t>
            </w:r>
            <w:r>
              <w:t xml:space="preserve">polychoric correlations [25]</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Psychometrika</w:t>
            </w:r>
            <w:r>
              <w:t xml:space="preserve"> </w:t>
            </w:r>
            <w:r>
              <w:t xml:space="preserve">44(4):443-60。polychoric MLE 的 canonical 引文。被引 3,000+</w:t>
            </w:r>
          </w:p>
        </w:tc>
      </w:tr>
      <w:tr>
        <w:tc>
          <w:tcPr/>
          <w:p>
            <w:pPr>
              <w:pStyle w:val="Compact"/>
              <w:jc w:val="left"/>
            </w:pPr>
            <w:r>
              <w:t xml:space="preserve">26</w:t>
            </w:r>
          </w:p>
        </w:tc>
        <w:tc>
          <w:tcPr/>
          <w:p>
            <w:pPr>
              <w:pStyle w:val="Compact"/>
              <w:jc w:val="left"/>
            </w:pPr>
            <w:r>
              <w:t xml:space="preserve">Horn 1965</w:t>
            </w:r>
          </w:p>
        </w:tc>
        <w:tc>
          <w:tcPr/>
          <w:p>
            <w:pPr>
              <w:pStyle w:val="Compact"/>
              <w:jc w:val="left"/>
            </w:pPr>
            <w:r>
              <w:t xml:space="preserve">§2.3</w:t>
            </w:r>
          </w:p>
        </w:tc>
        <w:tc>
          <w:tcPr/>
          <w:p>
            <w:pPr>
              <w:pStyle w:val="Compact"/>
              <w:jc w:val="left"/>
            </w:pPr>
            <w:r>
              <w:t xml:space="preserve">“</w:t>
            </w:r>
            <w:r>
              <w:t xml:space="preserve">Horn’s parallel analysis [26]</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Psychometrika</w:t>
            </w:r>
            <w:r>
              <w:t xml:space="preserve"> </w:t>
            </w:r>
            <w:r>
              <w:t xml:space="preserve">30:179-85。parallel analysis 的原始论文，确定因子个数的标准方法。被引 12,000+</w:t>
            </w:r>
          </w:p>
        </w:tc>
      </w:tr>
      <w:tr>
        <w:tc>
          <w:tcPr/>
          <w:p>
            <w:pPr>
              <w:pStyle w:val="Compact"/>
              <w:jc w:val="left"/>
            </w:pPr>
            <w:r>
              <w:t xml:space="preserve">27</w:t>
            </w:r>
          </w:p>
        </w:tc>
        <w:tc>
          <w:tcPr/>
          <w:p>
            <w:pPr>
              <w:pStyle w:val="Compact"/>
              <w:jc w:val="left"/>
            </w:pPr>
            <w:r>
              <w:t xml:space="preserve">Li 2016</w:t>
            </w:r>
          </w:p>
        </w:tc>
        <w:tc>
          <w:tcPr/>
          <w:p>
            <w:pPr>
              <w:pStyle w:val="Compact"/>
              <w:jc w:val="left"/>
            </w:pPr>
            <w:r>
              <w:t xml:space="preserve">§2.3</w:t>
            </w:r>
          </w:p>
        </w:tc>
        <w:tc>
          <w:tcPr/>
          <w:p>
            <w:pPr>
              <w:pStyle w:val="Compact"/>
              <w:jc w:val="left"/>
            </w:pPr>
            <w:r>
              <w:t xml:space="preserve">“</w:t>
            </w:r>
            <w:r>
              <w:t xml:space="preserve">WLSMV estimator [27,28]</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Behav Res Methods</w:t>
            </w:r>
            <w:r>
              <w:t xml:space="preserve"> </w:t>
            </w:r>
            <w:r>
              <w:t xml:space="preserve">48(3):936-49。有序变量 WLSMV vs robust ML 比较。被引 3,500+</w:t>
            </w:r>
          </w:p>
        </w:tc>
      </w:tr>
      <w:tr>
        <w:tc>
          <w:tcPr/>
          <w:p>
            <w:pPr>
              <w:pStyle w:val="Compact"/>
              <w:jc w:val="left"/>
            </w:pPr>
            <w:r>
              <w:t xml:space="preserve">28</w:t>
            </w:r>
          </w:p>
        </w:tc>
        <w:tc>
          <w:tcPr/>
          <w:p>
            <w:pPr>
              <w:pStyle w:val="Compact"/>
              <w:jc w:val="left"/>
            </w:pPr>
            <w:r>
              <w:t xml:space="preserve">Rhemtulla et al. 2012</w:t>
            </w:r>
          </w:p>
        </w:tc>
        <w:tc>
          <w:tcPr/>
          <w:p>
            <w:pPr>
              <w:pStyle w:val="Compact"/>
              <w:jc w:val="left"/>
            </w:pPr>
            <w:r>
              <w:t xml:space="preserve">§2.3</w:t>
            </w:r>
          </w:p>
        </w:tc>
        <w:tc>
          <w:tcPr/>
          <w:p>
            <w:pPr>
              <w:pStyle w:val="Compact"/>
              <w:jc w:val="left"/>
            </w:pPr>
            <w:r>
              <w:t xml:space="preserve">同上</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Psychol Methods</w:t>
            </w:r>
            <w:r>
              <w:t xml:space="preserve"> </w:t>
            </w:r>
            <w:r>
              <w:t xml:space="preserve">17(3):354-73。何时可把 ordinal 当连续变量处理。被引 3,000+</w:t>
            </w:r>
          </w:p>
        </w:tc>
      </w:tr>
      <w:tr>
        <w:tc>
          <w:tcPr/>
          <w:p>
            <w:pPr>
              <w:pStyle w:val="Compact"/>
              <w:jc w:val="left"/>
            </w:pPr>
            <w:r>
              <w:t xml:space="preserve">29</w:t>
            </w:r>
          </w:p>
        </w:tc>
        <w:tc>
          <w:tcPr/>
          <w:p>
            <w:pPr>
              <w:pStyle w:val="Compact"/>
              <w:jc w:val="left"/>
            </w:pPr>
            <w:r>
              <w:t xml:space="preserve">Chen 2007</w:t>
            </w:r>
          </w:p>
        </w:tc>
        <w:tc>
          <w:tcPr/>
          <w:p>
            <w:pPr>
              <w:pStyle w:val="Compact"/>
              <w:jc w:val="left"/>
            </w:pPr>
            <w:r>
              <w:t xml:space="preserve">§2.3</w:t>
            </w:r>
          </w:p>
        </w:tc>
        <w:tc>
          <w:tcPr/>
          <w:p>
            <w:pPr>
              <w:pStyle w:val="Compact"/>
              <w:jc w:val="left"/>
            </w:pPr>
            <w:r>
              <w:t xml:space="preserve">invariance ΔCFI 阈值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Struct Equ Modeling</w:t>
            </w:r>
            <w:r>
              <w:t xml:space="preserve"> </w:t>
            </w:r>
            <w:r>
              <w:t xml:space="preserve">14(3):464-504。ΔCFI &lt; .01 阈值的定义文献</w:t>
            </w:r>
          </w:p>
        </w:tc>
      </w:tr>
      <w:tr>
        <w:tc>
          <w:tcPr/>
          <w:p>
            <w:pPr>
              <w:pStyle w:val="Compact"/>
              <w:jc w:val="left"/>
            </w:pPr>
            <w:r>
              <w:t xml:space="preserve">30</w:t>
            </w:r>
          </w:p>
        </w:tc>
        <w:tc>
          <w:tcPr/>
          <w:p>
            <w:pPr>
              <w:pStyle w:val="Compact"/>
              <w:jc w:val="left"/>
            </w:pPr>
            <w:r>
              <w:t xml:space="preserve">Putnick &amp; Bornstein 2016</w:t>
            </w:r>
          </w:p>
        </w:tc>
        <w:tc>
          <w:tcPr/>
          <w:p>
            <w:pPr>
              <w:pStyle w:val="Compact"/>
              <w:jc w:val="left"/>
            </w:pPr>
            <w:r>
              <w:t xml:space="preserve">§2.3</w:t>
            </w:r>
          </w:p>
        </w:tc>
        <w:tc>
          <w:tcPr/>
          <w:p>
            <w:pPr>
              <w:pStyle w:val="Compact"/>
              <w:jc w:val="left"/>
            </w:pPr>
            <w:r>
              <w:t xml:space="preserve">invariance reporting conventions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Dev Rev</w:t>
            </w:r>
            <w:r>
              <w:t xml:space="preserve"> </w:t>
            </w:r>
            <w:r>
              <w:t xml:space="preserve">41:71-90。invariance 报告规范综述，被引 5,000+</w:t>
            </w:r>
          </w:p>
        </w:tc>
      </w:tr>
      <w:tr>
        <w:tc>
          <w:tcPr/>
          <w:p>
            <w:pPr>
              <w:pStyle w:val="Compact"/>
              <w:jc w:val="left"/>
            </w:pPr>
            <w:r>
              <w:t xml:space="preserve">31</w:t>
            </w:r>
          </w:p>
        </w:tc>
        <w:tc>
          <w:tcPr/>
          <w:p>
            <w:pPr>
              <w:pStyle w:val="Compact"/>
              <w:jc w:val="left"/>
            </w:pPr>
            <w:r>
              <w:t xml:space="preserve">van Buuren &amp; Groothuis-Oudshoorn 2011</w:t>
            </w:r>
          </w:p>
        </w:tc>
        <w:tc>
          <w:tcPr/>
          <w:p>
            <w:pPr>
              <w:pStyle w:val="Compact"/>
              <w:jc w:val="left"/>
            </w:pPr>
            <w:r>
              <w:t xml:space="preserve">§2.3</w:t>
            </w:r>
          </w:p>
        </w:tc>
        <w:tc>
          <w:tcPr/>
          <w:p>
            <w:pPr>
              <w:pStyle w:val="Compact"/>
              <w:jc w:val="left"/>
            </w:pPr>
            <w:r>
              <w:t xml:space="preserve">MICE 算法</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J Stat Softw</w:t>
            </w:r>
            <w:r>
              <w:t xml:space="preserve"> </w:t>
            </w:r>
            <w:r>
              <w:t xml:space="preserve">45(3):1-67。MICE R 包的 canonical 引文</w:t>
            </w:r>
          </w:p>
        </w:tc>
      </w:tr>
      <w:tr>
        <w:tc>
          <w:tcPr/>
          <w:p>
            <w:pPr>
              <w:pStyle w:val="Compact"/>
              <w:jc w:val="left"/>
            </w:pPr>
            <w:r>
              <w:t xml:space="preserve">32</w:t>
            </w:r>
          </w:p>
        </w:tc>
        <w:tc>
          <w:tcPr/>
          <w:p>
            <w:pPr>
              <w:pStyle w:val="Compact"/>
              <w:jc w:val="left"/>
            </w:pPr>
            <w:r>
              <w:t xml:space="preserve">van Buuren 2018 book</w:t>
            </w:r>
          </w:p>
        </w:tc>
        <w:tc>
          <w:tcPr/>
          <w:p>
            <w:pPr>
              <w:pStyle w:val="Compact"/>
              <w:jc w:val="left"/>
            </w:pPr>
            <w:r>
              <w:t xml:space="preserve">§2.3</w:t>
            </w:r>
          </w:p>
        </w:tc>
        <w:tc>
          <w:tcPr/>
          <w:p>
            <w:pPr>
              <w:pStyle w:val="Compact"/>
              <w:jc w:val="left"/>
            </w:pPr>
            <w:r>
              <w:t xml:space="preserve">MICE 方法学参考</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Flexible Imputation of Missing Data</w:t>
            </w:r>
            <w:r>
              <w:t xml:space="preserve"> </w:t>
            </w:r>
            <w:r>
              <w:t xml:space="preserve">2nd ed. CRC Press。MI 方法论权威著作</w:t>
            </w:r>
          </w:p>
        </w:tc>
      </w:tr>
      <w:tr>
        <w:tc>
          <w:tcPr/>
          <w:p>
            <w:pPr>
              <w:pStyle w:val="Compact"/>
              <w:jc w:val="left"/>
            </w:pPr>
            <w:r>
              <w:t xml:space="preserve">33</w:t>
            </w:r>
          </w:p>
        </w:tc>
        <w:tc>
          <w:tcPr/>
          <w:p>
            <w:pPr>
              <w:pStyle w:val="Compact"/>
              <w:jc w:val="left"/>
            </w:pPr>
            <w:r>
              <w:t xml:space="preserve">Grund, Robitzsch &amp; Lüdtke 2023 (mitml)</w:t>
            </w:r>
          </w:p>
        </w:tc>
        <w:tc>
          <w:tcPr/>
          <w:p>
            <w:pPr>
              <w:pStyle w:val="Compact"/>
              <w:jc w:val="left"/>
            </w:pPr>
            <w:r>
              <w:t xml:space="preserve">§2.3</w:t>
            </w:r>
          </w:p>
        </w:tc>
        <w:tc>
          <w:tcPr/>
          <w:p>
            <w:pPr>
              <w:pStyle w:val="Compact"/>
              <w:jc w:val="left"/>
            </w:pPr>
            <w:r>
              <w:t xml:space="preserve">“</w:t>
            </w:r>
            <w:r>
              <w:t xml:space="preserve">Rubin’s rules [33,37]</w:t>
            </w:r>
            <w:r>
              <w:t xml:space="preserve">”</w:t>
            </w:r>
            <w:r>
              <w:t xml:space="preserve"> </w:t>
            </w:r>
            <w:r>
              <w:t xml:space="preserve">— R 软件端</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mitml CRAN v0.4-5 (released 2023-03-08)。与分析脚本实际用的版本一致，已</w:t>
            </w:r>
            <w:r>
              <w:t xml:space="preserve"> </w:t>
            </w:r>
            <w:r>
              <w:rPr>
                <w:rStyle w:val="VerbatimChar"/>
              </w:rPr>
              <w:t xml:space="preserve">packageVersion()</w:t>
            </w:r>
            <w:r>
              <w:t xml:space="preserve"> </w:t>
            </w:r>
            <w:r>
              <w:t xml:space="preserve">核对</w:t>
            </w:r>
          </w:p>
        </w:tc>
      </w:tr>
      <w:tr>
        <w:tc>
          <w:tcPr/>
          <w:p>
            <w:pPr>
              <w:pStyle w:val="Compact"/>
              <w:jc w:val="left"/>
            </w:pPr>
            <w:r>
              <w:t xml:space="preserve">34</w:t>
            </w:r>
          </w:p>
        </w:tc>
        <w:tc>
          <w:tcPr/>
          <w:p>
            <w:pPr>
              <w:pStyle w:val="Compact"/>
              <w:jc w:val="left"/>
            </w:pPr>
            <w:r>
              <w:t xml:space="preserve">Bates et al. 2015</w:t>
            </w:r>
          </w:p>
        </w:tc>
        <w:tc>
          <w:tcPr/>
          <w:p>
            <w:pPr>
              <w:pStyle w:val="Compact"/>
              <w:jc w:val="left"/>
            </w:pPr>
            <w:r>
              <w:t xml:space="preserve">§2.3</w:t>
            </w:r>
          </w:p>
        </w:tc>
        <w:tc>
          <w:tcPr/>
          <w:p>
            <w:pPr>
              <w:pStyle w:val="Compact"/>
              <w:jc w:val="left"/>
            </w:pPr>
            <w:r>
              <w:t xml:space="preserve">“</w:t>
            </w:r>
            <w:r>
              <w:t xml:space="preserve">mixed-effects models…[34–36]</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J Stat Softw</w:t>
            </w:r>
            <w:r>
              <w:t xml:space="preserve"> </w:t>
            </w:r>
            <w:r>
              <w:t xml:space="preserve">67(1):1-48。lme4 的 canonical 引文。被引 50,000+</w:t>
            </w:r>
          </w:p>
        </w:tc>
      </w:tr>
      <w:tr>
        <w:tc>
          <w:tcPr/>
          <w:p>
            <w:pPr>
              <w:pStyle w:val="Compact"/>
              <w:jc w:val="left"/>
            </w:pPr>
            <w:r>
              <w:t xml:space="preserve">35</w:t>
            </w:r>
          </w:p>
        </w:tc>
        <w:tc>
          <w:tcPr/>
          <w:p>
            <w:pPr>
              <w:pStyle w:val="Compact"/>
              <w:jc w:val="left"/>
            </w:pPr>
            <w:r>
              <w:t xml:space="preserve">Kuznetsova et al. 2017</w:t>
            </w:r>
          </w:p>
        </w:tc>
        <w:tc>
          <w:tcPr/>
          <w:p>
            <w:pPr>
              <w:pStyle w:val="Compact"/>
              <w:jc w:val="left"/>
            </w:pPr>
            <w:r>
              <w:t xml:space="preserve">§2.3</w:t>
            </w:r>
          </w:p>
        </w:tc>
        <w:tc>
          <w:tcPr/>
          <w:p>
            <w:pPr>
              <w:pStyle w:val="Compact"/>
              <w:jc w:val="left"/>
            </w:pPr>
            <w:r>
              <w:t xml:space="preserve">同上</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J Stat Softw</w:t>
            </w:r>
            <w:r>
              <w:t xml:space="preserve"> </w:t>
            </w:r>
            <w:r>
              <w:t xml:space="preserve">82(13):1-26。lmerTest 的 canonical 引文。被引 15,000+</w:t>
            </w:r>
          </w:p>
        </w:tc>
      </w:tr>
      <w:tr>
        <w:tc>
          <w:tcPr/>
          <w:p>
            <w:pPr>
              <w:pStyle w:val="Compact"/>
              <w:jc w:val="left"/>
            </w:pPr>
            <w:r>
              <w:t xml:space="preserve">36</w:t>
            </w:r>
          </w:p>
        </w:tc>
        <w:tc>
          <w:tcPr/>
          <w:p>
            <w:pPr>
              <w:pStyle w:val="Compact"/>
              <w:jc w:val="left"/>
            </w:pPr>
            <w:r>
              <w:t xml:space="preserve">Satterthwaite 1946</w:t>
            </w:r>
          </w:p>
        </w:tc>
        <w:tc>
          <w:tcPr/>
          <w:p>
            <w:pPr>
              <w:pStyle w:val="Compact"/>
              <w:jc w:val="left"/>
            </w:pPr>
            <w:r>
              <w:t xml:space="preserve">§2.3</w:t>
            </w:r>
          </w:p>
        </w:tc>
        <w:tc>
          <w:tcPr/>
          <w:p>
            <w:pPr>
              <w:pStyle w:val="Compact"/>
              <w:jc w:val="left"/>
            </w:pPr>
            <w:r>
              <w:t xml:space="preserve">Satterthwaite df 方法</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Biometrics Bull</w:t>
            </w:r>
            <w:r>
              <w:t xml:space="preserve"> </w:t>
            </w:r>
            <w:r>
              <w:t xml:space="preserve">2(6):110-14。原始论文。注：1946 年期刊名为</w:t>
            </w:r>
            <w:r>
              <w:t xml:space="preserve"> </w:t>
            </w:r>
            <w:r>
              <w:rPr>
                <w:iCs/>
                <w:i/>
              </w:rPr>
              <w:t xml:space="preserve">Biometrics Bulletin</w:t>
            </w:r>
            <w:r>
              <w:t xml:space="preserve">，1947 年后改名</w:t>
            </w:r>
            <w:r>
              <w:t xml:space="preserve"> </w:t>
            </w:r>
            <w:r>
              <w:rPr>
                <w:iCs/>
                <w:i/>
              </w:rPr>
              <w:t xml:space="preserve">Biometrics</w:t>
            </w:r>
          </w:p>
        </w:tc>
      </w:tr>
      <w:tr>
        <w:tc>
          <w:tcPr/>
          <w:p>
            <w:pPr>
              <w:pStyle w:val="Compact"/>
              <w:jc w:val="left"/>
            </w:pPr>
            <w:r>
              <w:t xml:space="preserve">37</w:t>
            </w:r>
          </w:p>
        </w:tc>
        <w:tc>
          <w:tcPr/>
          <w:p>
            <w:pPr>
              <w:pStyle w:val="Compact"/>
              <w:jc w:val="left"/>
            </w:pPr>
            <w:r>
              <w:t xml:space="preserve">Rubin 1987</w:t>
            </w:r>
          </w:p>
        </w:tc>
        <w:tc>
          <w:tcPr/>
          <w:p>
            <w:pPr>
              <w:pStyle w:val="Compact"/>
              <w:jc w:val="left"/>
            </w:pPr>
            <w:r>
              <w:t xml:space="preserve">§2.3</w:t>
            </w:r>
          </w:p>
        </w:tc>
        <w:tc>
          <w:tcPr/>
          <w:p>
            <w:pPr>
              <w:pStyle w:val="Compact"/>
              <w:jc w:val="left"/>
            </w:pPr>
            <w:r>
              <w:t xml:space="preserve">“</w:t>
            </w:r>
            <w:r>
              <w:t xml:space="preserve">Rubin’s rules</w:t>
            </w:r>
            <w:r>
              <w:t xml:space="preserve">”</w:t>
            </w:r>
            <w:r>
              <w:t xml:space="preserve"> </w:t>
            </w:r>
            <w:r>
              <w:t xml:space="preserve">原著</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Wiley book。MI 方法的奠基文献</w:t>
            </w:r>
          </w:p>
        </w:tc>
      </w:tr>
      <w:tr>
        <w:tc>
          <w:tcPr/>
          <w:p>
            <w:pPr>
              <w:pStyle w:val="Compact"/>
              <w:jc w:val="left"/>
            </w:pPr>
            <w:r>
              <w:t xml:space="preserve">38</w:t>
            </w:r>
          </w:p>
        </w:tc>
        <w:tc>
          <w:tcPr/>
          <w:p>
            <w:pPr>
              <w:pStyle w:val="Compact"/>
              <w:jc w:val="left"/>
            </w:pPr>
            <w:r>
              <w:t xml:space="preserve">Maas &amp; Hox 2005</w:t>
            </w:r>
          </w:p>
        </w:tc>
        <w:tc>
          <w:tcPr/>
          <w:p>
            <w:pPr>
              <w:pStyle w:val="Compact"/>
              <w:jc w:val="left"/>
            </w:pPr>
            <w:r>
              <w:t xml:space="preserve">§2.3</w:t>
            </w:r>
          </w:p>
        </w:tc>
        <w:tc>
          <w:tcPr/>
          <w:p>
            <w:pPr>
              <w:pStyle w:val="Compact"/>
              <w:jc w:val="left"/>
            </w:pPr>
            <w:r>
              <w:t xml:space="preserve">“</w:t>
            </w:r>
            <w:r>
              <w:t xml:space="preserve">k = 13 clusters falls below Maas–Hox thresholds</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Methodology</w:t>
            </w:r>
            <w:r>
              <w:t xml:space="preserve"> </w:t>
            </w:r>
            <w:r>
              <w:t xml:space="preserve">1(3):86-92。k≥30 / k≥50 阈值的来源文献。被引 3,500+</w:t>
            </w:r>
          </w:p>
        </w:tc>
      </w:tr>
      <w:tr>
        <w:tc>
          <w:tcPr/>
          <w:p>
            <w:pPr>
              <w:pStyle w:val="Compact"/>
              <w:jc w:val="left"/>
            </w:pPr>
            <w:r>
              <w:t xml:space="preserve">39</w:t>
            </w:r>
          </w:p>
        </w:tc>
        <w:tc>
          <w:tcPr/>
          <w:p>
            <w:pPr>
              <w:pStyle w:val="Compact"/>
              <w:jc w:val="left"/>
            </w:pPr>
            <w:r>
              <w:t xml:space="preserve">Pustejovsky &amp; Tipton 2018</w:t>
            </w:r>
          </w:p>
        </w:tc>
        <w:tc>
          <w:tcPr/>
          <w:p>
            <w:pPr>
              <w:pStyle w:val="Compact"/>
              <w:jc w:val="left"/>
            </w:pPr>
            <w:r>
              <w:t xml:space="preserve">§2.3</w:t>
            </w:r>
          </w:p>
        </w:tc>
        <w:tc>
          <w:tcPr/>
          <w:p>
            <w:pPr>
              <w:pStyle w:val="Compact"/>
              <w:jc w:val="left"/>
            </w:pPr>
            <w:r>
              <w:t xml:space="preserve">“</w:t>
            </w:r>
            <w:r>
              <w:t xml:space="preserve">CR2 cluster-robust SEs [39]</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J Bus Econ Stat</w:t>
            </w:r>
            <w:r>
              <w:t xml:space="preserve"> </w:t>
            </w:r>
            <w:r>
              <w:t xml:space="preserve">36(4):672-83。CR2 + Satterthwaite 方法的 canonical 文献</w:t>
            </w:r>
          </w:p>
        </w:tc>
      </w:tr>
      <w:tr>
        <w:tc>
          <w:tcPr/>
          <w:p>
            <w:pPr>
              <w:pStyle w:val="Compact"/>
              <w:jc w:val="left"/>
            </w:pPr>
            <w:r>
              <w:t xml:space="preserve">40</w:t>
            </w:r>
          </w:p>
        </w:tc>
        <w:tc>
          <w:tcPr/>
          <w:p>
            <w:pPr>
              <w:pStyle w:val="Compact"/>
              <w:jc w:val="left"/>
            </w:pPr>
            <w:r>
              <w:t xml:space="preserve">Nakagawa &amp; Schielzeth 2013</w:t>
            </w:r>
          </w:p>
        </w:tc>
        <w:tc>
          <w:tcPr/>
          <w:p>
            <w:pPr>
              <w:pStyle w:val="Compact"/>
              <w:jc w:val="left"/>
            </w:pPr>
            <w:r>
              <w:t xml:space="preserve">§2.3</w:t>
            </w:r>
          </w:p>
        </w:tc>
        <w:tc>
          <w:tcPr/>
          <w:p>
            <w:pPr>
              <w:pStyle w:val="Compact"/>
              <w:jc w:val="left"/>
            </w:pPr>
            <w:r>
              <w:t xml:space="preserve">“</w:t>
            </w:r>
            <w:r>
              <w:t xml:space="preserve">Marginal R² [40]</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Methods Ecol Evol</w:t>
            </w:r>
            <w:r>
              <w:t xml:space="preserve"> </w:t>
            </w:r>
            <w:r>
              <w:t xml:space="preserve">4(2):133-42。marginal/conditional R² 定义的原始论文。被引 15,000+</w:t>
            </w:r>
          </w:p>
        </w:tc>
      </w:tr>
      <w:tr>
        <w:tc>
          <w:tcPr/>
          <w:p>
            <w:pPr>
              <w:pStyle w:val="Compact"/>
              <w:jc w:val="left"/>
            </w:pPr>
            <w:r>
              <w:t xml:space="preserve">41</w:t>
            </w:r>
          </w:p>
        </w:tc>
        <w:tc>
          <w:tcPr/>
          <w:p>
            <w:pPr>
              <w:pStyle w:val="Compact"/>
              <w:jc w:val="left"/>
            </w:pPr>
            <w:r>
              <w:t xml:space="preserve">Harel 2009</w:t>
            </w:r>
          </w:p>
        </w:tc>
        <w:tc>
          <w:tcPr/>
          <w:p>
            <w:pPr>
              <w:pStyle w:val="Compact"/>
              <w:jc w:val="left"/>
            </w:pPr>
            <w:r>
              <w:t xml:space="preserve">§2.3</w:t>
            </w:r>
          </w:p>
        </w:tc>
        <w:tc>
          <w:tcPr/>
          <w:p>
            <w:pPr>
              <w:pStyle w:val="Compact"/>
              <w:jc w:val="left"/>
            </w:pPr>
            <w:r>
              <w:t xml:space="preserve">“</w:t>
            </w:r>
            <w:r>
              <w:t xml:space="preserve">averaged across imputations</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J Appl Stat</w:t>
            </w:r>
            <w:r>
              <w:t xml:space="preserve"> </w:t>
            </w:r>
            <w:r>
              <w:t xml:space="preserve">36(10):1109-18。MI 数据中估计 R² 的方法论文献</w:t>
            </w:r>
          </w:p>
        </w:tc>
      </w:tr>
      <w:tr>
        <w:tc>
          <w:tcPr/>
          <w:p>
            <w:pPr>
              <w:pStyle w:val="Compact"/>
              <w:jc w:val="left"/>
            </w:pPr>
            <w:r>
              <w:t xml:space="preserve">42</w:t>
            </w:r>
          </w:p>
        </w:tc>
        <w:tc>
          <w:tcPr/>
          <w:p>
            <w:pPr>
              <w:pStyle w:val="Compact"/>
              <w:jc w:val="left"/>
            </w:pPr>
            <w:r>
              <w:t xml:space="preserve">Benjamini &amp; Hochberg 1995</w:t>
            </w:r>
          </w:p>
        </w:tc>
        <w:tc>
          <w:tcPr/>
          <w:p>
            <w:pPr>
              <w:pStyle w:val="Compact"/>
              <w:jc w:val="left"/>
            </w:pPr>
            <w:r>
              <w:t xml:space="preserve">§2.3</w:t>
            </w:r>
          </w:p>
        </w:tc>
        <w:tc>
          <w:tcPr/>
          <w:p>
            <w:pPr>
              <w:pStyle w:val="Compact"/>
              <w:jc w:val="left"/>
            </w:pPr>
            <w:r>
              <w:t xml:space="preserve">“</w:t>
            </w:r>
            <w:r>
              <w:t xml:space="preserve">Benjamini–Hochberg FDR</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J R Stat Soc B</w:t>
            </w:r>
            <w:r>
              <w:t xml:space="preserve"> </w:t>
            </w:r>
            <w:r>
              <w:t xml:space="preserve">57(1):289-300。BH-FDR 的原始论文。被引 110,000+</w:t>
            </w:r>
          </w:p>
        </w:tc>
      </w:tr>
      <w:tr>
        <w:tc>
          <w:tcPr/>
          <w:p>
            <w:pPr>
              <w:pStyle w:val="Compact"/>
              <w:jc w:val="left"/>
            </w:pPr>
            <w:r>
              <w:t xml:space="preserve">43</w:t>
            </w:r>
          </w:p>
        </w:tc>
        <w:tc>
          <w:tcPr/>
          <w:p>
            <w:pPr>
              <w:pStyle w:val="Compact"/>
              <w:jc w:val="left"/>
            </w:pPr>
            <w:r>
              <w:t xml:space="preserve">Maxwell &amp; Cole 2007</w:t>
            </w:r>
          </w:p>
        </w:tc>
        <w:tc>
          <w:tcPr/>
          <w:p>
            <w:pPr>
              <w:pStyle w:val="Compact"/>
              <w:jc w:val="left"/>
            </w:pPr>
            <w:r>
              <w:t xml:space="preserve">§2.3</w:t>
            </w:r>
          </w:p>
        </w:tc>
        <w:tc>
          <w:tcPr/>
          <w:p>
            <w:pPr>
              <w:pStyle w:val="Compact"/>
              <w:jc w:val="left"/>
            </w:pPr>
            <w:r>
              <w:t xml:space="preserve">“</w:t>
            </w:r>
            <w:r>
              <w:t xml:space="preserve">cross-sectional mediation is a decomposition of covariation, not a causal estimate</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Psychol Methods</w:t>
            </w:r>
            <w:r>
              <w:t xml:space="preserve"> </w:t>
            </w:r>
            <w:r>
              <w:t xml:space="preserve">12(1):23-44。截面 mediation 的系统性批判，和 Methods 措辞完美对应</w:t>
            </w:r>
          </w:p>
        </w:tc>
      </w:tr>
      <w:tr>
        <w:tc>
          <w:tcPr/>
          <w:p>
            <w:pPr>
              <w:pStyle w:val="Compact"/>
              <w:jc w:val="left"/>
            </w:pPr>
            <w:r>
              <w:t xml:space="preserve">44</w:t>
            </w:r>
          </w:p>
        </w:tc>
        <w:tc>
          <w:tcPr/>
          <w:p>
            <w:pPr>
              <w:pStyle w:val="Compact"/>
              <w:jc w:val="left"/>
            </w:pPr>
            <w:r>
              <w:t xml:space="preserve">Schomaker &amp; Heumann 2018</w:t>
            </w:r>
          </w:p>
        </w:tc>
        <w:tc>
          <w:tcPr/>
          <w:p>
            <w:pPr>
              <w:pStyle w:val="Compact"/>
              <w:jc w:val="left"/>
            </w:pPr>
            <w:r>
              <w:t xml:space="preserve">§2.3</w:t>
            </w:r>
          </w:p>
        </w:tc>
        <w:tc>
          <w:tcPr/>
          <w:p>
            <w:pPr>
              <w:pStyle w:val="Compact"/>
              <w:jc w:val="left"/>
            </w:pPr>
            <w:r>
              <w:t xml:space="preserve">“</w:t>
            </w:r>
            <w:r>
              <w:t xml:space="preserve">Schomaker–Heumann bootstrap-after-imputation</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Stat Med</w:t>
            </w:r>
            <w:r>
              <w:t xml:space="preserve"> </w:t>
            </w:r>
            <w:r>
              <w:t xml:space="preserve">37(14):2252-66。Rubin-pooled bootstrap mediation 的方法学依据</w:t>
            </w:r>
          </w:p>
        </w:tc>
      </w:tr>
      <w:tr>
        <w:tc>
          <w:tcPr/>
          <w:p>
            <w:pPr>
              <w:pStyle w:val="Compact"/>
              <w:jc w:val="left"/>
            </w:pPr>
            <w:r>
              <w:t xml:space="preserve">45</w:t>
            </w:r>
          </w:p>
        </w:tc>
        <w:tc>
          <w:tcPr/>
          <w:p>
            <w:pPr>
              <w:pStyle w:val="Compact"/>
              <w:jc w:val="left"/>
            </w:pPr>
            <w:r>
              <w:t xml:space="preserve">Enders &amp; Tofighi 2007</w:t>
            </w:r>
          </w:p>
        </w:tc>
        <w:tc>
          <w:tcPr/>
          <w:p>
            <w:pPr>
              <w:pStyle w:val="Compact"/>
              <w:jc w:val="left"/>
            </w:pPr>
            <w:r>
              <w:t xml:space="preserve">§2.3</w:t>
            </w:r>
          </w:p>
        </w:tc>
        <w:tc>
          <w:tcPr/>
          <w:p>
            <w:pPr>
              <w:pStyle w:val="Compact"/>
              <w:jc w:val="left"/>
            </w:pPr>
            <w:r>
              <w:t xml:space="preserve">“</w:t>
            </w:r>
            <w:r>
              <w:t xml:space="preserve">within- vs between-site [45]</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Psychol Methods</w:t>
            </w:r>
            <w:r>
              <w:t xml:space="preserve"> </w:t>
            </w:r>
            <w:r>
              <w:t xml:space="preserve">12(2):121-38。group-mean centering 与 contextual effect 分解的 canonical 文献</w:t>
            </w:r>
          </w:p>
        </w:tc>
      </w:tr>
    </w:tbl>
    <w:bookmarkEnd w:id="26"/>
    <w:bookmarkStart w:id="27" w:name="汇总-1"/>
    <w:p>
      <w:pPr>
        <w:pStyle w:val="Heading2"/>
      </w:pPr>
      <w:r>
        <w:t xml:space="preserve">汇总</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状态</w:t>
            </w:r>
          </w:p>
        </w:tc>
        <w:tc>
          <w:tcPr/>
          <w:p>
            <w:pPr>
              <w:pStyle w:val="Compact"/>
              <w:jc w:val="left"/>
            </w:pPr>
            <w:r>
              <w:t xml:space="preserve">数量</w:t>
            </w:r>
          </w:p>
        </w:tc>
      </w:tr>
      <w:tr>
        <w:tc>
          <w:tcPr/>
          <w:p>
            <w:pPr>
              <w:pStyle w:val="Compact"/>
              <w:jc w:val="left"/>
            </w:pPr>
            <w:r>
              <w:t xml:space="preserve">✅✅✅ 全部通过</w:t>
            </w:r>
          </w:p>
        </w:tc>
        <w:tc>
          <w:tcPr/>
          <w:p>
            <w:pPr>
              <w:pStyle w:val="Compact"/>
              <w:jc w:val="left"/>
            </w:pPr>
            <w:r>
              <w:rPr>
                <w:bCs/>
                <w:b/>
              </w:rPr>
              <w:t xml:space="preserve">25/25</w:t>
            </w:r>
          </w:p>
        </w:tc>
      </w:tr>
      <w:tr>
        <w:tc>
          <w:tcPr/>
          <w:p>
            <w:pPr>
              <w:pStyle w:val="Compact"/>
              <w:jc w:val="left"/>
            </w:pPr>
            <w:r>
              <w:t xml:space="preserve">❌ 虚构/错误</w:t>
            </w:r>
          </w:p>
        </w:tc>
        <w:tc>
          <w:tcPr/>
          <w:p>
            <w:pPr>
              <w:pStyle w:val="Compact"/>
              <w:jc w:val="left"/>
            </w:pPr>
            <w:r>
              <w:t xml:space="preserve">0/25</w:t>
            </w:r>
          </w:p>
        </w:tc>
      </w:tr>
      <w:tr>
        <w:tc>
          <w:tcPr/>
          <w:p>
            <w:pPr>
              <w:pStyle w:val="Compact"/>
              <w:jc w:val="left"/>
            </w:pPr>
            <w:r>
              <w:t xml:space="preserve">🚫 被撤稿</w:t>
            </w:r>
          </w:p>
        </w:tc>
        <w:tc>
          <w:tcPr/>
          <w:p>
            <w:pPr>
              <w:pStyle w:val="Compact"/>
              <w:jc w:val="left"/>
            </w:pPr>
            <w:r>
              <w:t xml:space="preserve">0/25</w:t>
            </w:r>
          </w:p>
        </w:tc>
      </w:tr>
    </w:tbl>
    <w:bookmarkEnd w:id="27"/>
    <w:bookmarkStart w:id="28" w:name="本次修正记录-1"/>
    <w:p>
      <w:pPr>
        <w:pStyle w:val="Heading2"/>
      </w:pPr>
      <w:r>
        <w:t xml:space="preserve">本次修正记录</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修正</w:t>
            </w:r>
          </w:p>
        </w:tc>
        <w:tc>
          <w:tcPr/>
          <w:p>
            <w:pPr>
              <w:pStyle w:val="Compact"/>
              <w:jc w:val="left"/>
            </w:pPr>
            <w:r>
              <w:t xml:space="preserve">旧</w:t>
            </w:r>
          </w:p>
        </w:tc>
        <w:tc>
          <w:tcPr/>
          <w:p>
            <w:pPr>
              <w:pStyle w:val="Compact"/>
              <w:jc w:val="left"/>
            </w:pPr>
            <w:r>
              <w:t xml:space="preserve">新</w:t>
            </w:r>
          </w:p>
        </w:tc>
      </w:tr>
      <w:tr>
        <w:tc>
          <w:tcPr/>
          <w:p>
            <w:pPr>
              <w:pStyle w:val="Compact"/>
              <w:jc w:val="left"/>
            </w:pPr>
            <w:r>
              <w:t xml:space="preserve">[23] DASS-21 LMIC 依据</w:t>
            </w:r>
          </w:p>
        </w:tc>
        <w:tc>
          <w:tcPr/>
          <w:p>
            <w:pPr>
              <w:pStyle w:val="Compact"/>
              <w:jc w:val="left"/>
            </w:pPr>
            <w:r>
              <w:t xml:space="preserve">Oei et al. 2013（样本非 LMIC，claim 不符）</w:t>
            </w:r>
          </w:p>
        </w:tc>
        <w:tc>
          <w:tcPr/>
          <w:p>
            <w:pPr>
              <w:pStyle w:val="Compact"/>
              <w:jc w:val="left"/>
            </w:pPr>
            <w:r>
              <w:rPr>
                <w:bCs/>
                <w:b/>
              </w:rPr>
              <w:t xml:space="preserve">Tonsing KN 2014</w:t>
            </w:r>
            <w:r>
              <w:t xml:space="preserve"> </w:t>
            </w:r>
            <w:r>
              <w:rPr>
                <w:iCs/>
                <w:i/>
              </w:rPr>
              <w:t xml:space="preserve">Asian J Psychiatry</w:t>
            </w:r>
            <w:r>
              <w:t xml:space="preserve"> </w:t>
            </w:r>
            <w:r>
              <w:t xml:space="preserve">8:63-66（Nepal 本土 validation）</w:t>
            </w:r>
          </w:p>
        </w:tc>
      </w:tr>
      <w:tr>
        <w:tc>
          <w:tcPr/>
          <w:p>
            <w:pPr>
              <w:pStyle w:val="Compact"/>
              <w:jc w:val="left"/>
            </w:pPr>
            <w:r>
              <w:t xml:space="preserve">[33] mitml 版本号</w:t>
            </w:r>
          </w:p>
        </w:tc>
        <w:tc>
          <w:tcPr/>
          <w:p>
            <w:pPr>
              <w:pStyle w:val="Compact"/>
              <w:jc w:val="left"/>
            </w:pPr>
            <w:r>
              <w:t xml:space="preserve">推测 0.4-5</w:t>
            </w:r>
          </w:p>
        </w:tc>
        <w:tc>
          <w:tcPr/>
          <w:p>
            <w:pPr>
              <w:pStyle w:val="Compact"/>
              <w:jc w:val="left"/>
            </w:pPr>
            <w:r>
              <w:rPr>
                <w:bCs/>
                <w:b/>
              </w:rPr>
              <w:t xml:space="preserve">确认 0.4.5</w:t>
            </w:r>
            <w:r>
              <w:t xml:space="preserve"> </w:t>
            </w:r>
            <w:r>
              <w:t xml:space="preserve">(released 2023-03-08)，已通过</w:t>
            </w:r>
            <w:r>
              <w:t xml:space="preserve"> </w:t>
            </w:r>
            <w:r>
              <w:rPr>
                <w:rStyle w:val="VerbatimChar"/>
              </w:rPr>
              <w:t xml:space="preserve">packageVersion("mitml")</w:t>
            </w:r>
            <w:r>
              <w:t xml:space="preserve"> </w:t>
            </w:r>
            <w:r>
              <w:t xml:space="preserve">核对</w:t>
            </w:r>
          </w:p>
        </w:tc>
      </w:tr>
    </w:tbl>
    <w:bookmarkEnd w:id="28"/>
    <w:bookmarkStart w:id="29" w:name="剩余-0-个待你处理"/>
    <w:p>
      <w:pPr>
        <w:pStyle w:val="Heading2"/>
      </w:pPr>
      <w:r>
        <w:t xml:space="preserve">剩余 0 个待你处理</w:t>
      </w:r>
    </w:p>
    <w:p>
      <w:pPr>
        <w:pStyle w:val="FirstParagraph"/>
      </w:pPr>
      <w:r>
        <w:t xml:space="preserve">所有 25 条 Methods 引用均已核对并通过 ✅</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2026-04-18T06:06:00Z</dcterms:created>
  <dcterms:modified xsi:type="dcterms:W3CDTF">2026-04-18T06:06:00Z</dcterms:modified>
</cp:coreProperties>
</file>

<file path=docProps/custom.xml><?xml version="1.0" encoding="utf-8"?>
<Properties xmlns="http://schemas.openxmlformats.org/officeDocument/2006/custom-properties" xmlns:vt="http://schemas.openxmlformats.org/officeDocument/2006/docPropsVTypes"/>
</file>