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figure-legends"/>
    <w:p>
      <w:pPr>
        <w:pStyle w:val="Heading1"/>
      </w:pPr>
      <w:r>
        <w:t xml:space="preserve">Figure legends</w:t>
      </w:r>
    </w:p>
    <w:bookmarkStart w:id="20" w:name="main-figures"/>
    <w:p>
      <w:pPr>
        <w:pStyle w:val="Heading2"/>
      </w:pPr>
      <w:r>
        <w:t xml:space="preserve">Main figures</w:t>
      </w:r>
    </w:p>
    <w:p>
      <w:pPr>
        <w:pStyle w:val="FirstParagraph"/>
      </w:pPr>
      <w:r>
        <w:rPr>
          <w:bCs/>
          <w:b/>
        </w:rPr>
        <w:t xml:space="preserve">Figure 1.</w:t>
      </w:r>
      <w:r>
        <w:t xml:space="preserve"> </w:t>
      </w:r>
      <w:r>
        <w:t xml:space="preserve">Study setting and analytic sample.</w:t>
      </w:r>
      <w:r>
        <w:t xml:space="preserve"> </w:t>
      </w:r>
      <w:r>
        <w:rPr>
          <w:bCs/>
          <w:b/>
        </w:rPr>
        <w:t xml:space="preserve">Panel A</w:t>
      </w:r>
      <w:r>
        <w:t xml:space="preserve">: Geographic location of the 13 community sites across Indonesia, Nepal, and Vietnam (urban, peri-urban, rural, and remote settings as defined in the parent SPEAR protocol [21]); country-level site counts are 3 (Indonesia), 6 (Nepal), and 4 (Vietnam).</w:t>
      </w:r>
      <w:r>
        <w:t xml:space="preserve"> </w:t>
      </w:r>
      <w:r>
        <w:rPr>
          <w:bCs/>
          <w:b/>
        </w:rPr>
        <w:t xml:space="preserve">Panel B</w:t>
      </w:r>
      <w:r>
        <w:t xml:space="preserve">: CONSORT-style flow diagram from total SPEAR enrolment through protocol-fidelity screening to the primary analytic sample of n = 1,462; exclusions retained 38 off-protocol Vietnamese respondents for the 14-site sensitivity analysis only (Table S17).</w:t>
      </w:r>
    </w:p>
    <w:p>
      <w:pPr>
        <w:pStyle w:val="BodyText"/>
      </w:pPr>
      <w:r>
        <w:rPr>
          <w:bCs/>
          <w:b/>
        </w:rPr>
        <w:t xml:space="preserve">Figure 2.</w:t>
      </w:r>
      <w:r>
        <w:t xml:space="preserve"> </w:t>
      </w:r>
      <w:r>
        <w:t xml:space="preserve">Analytical pipeline schematic summarising the sequence of analyses from raw data through construct development (01), descriptives and measurement validation (02), multiple imputation (m = 30, 03c/17), primary multilevel regression (03b canonical-consolidation 18), sensitivity analyses (06), mediation analysis (04b Rubin-pooled), structural equation verification (05), and supplementary post-hoc diagnostics (21–24). Arrows indicate data or output dependencies; the canonical primary analysis is the MI Rubin-pooled multilevel model on the 13-site protocol-specified sample.</w:t>
      </w:r>
    </w:p>
    <w:p>
      <w:pPr>
        <w:pStyle w:val="BodyText"/>
      </w:pPr>
      <w:r>
        <w:rPr>
          <w:bCs/>
          <w:b/>
        </w:rPr>
        <w:t xml:space="preserve">Figure 3.</w:t>
      </w:r>
      <w:r>
        <w:t xml:space="preserve"> </w:t>
      </w:r>
      <w:r>
        <w:t xml:space="preserve">Distribution of key constructs by country (violin plots with embedded box plots and means).</w:t>
      </w:r>
      <w:r>
        <w:t xml:space="preserve"> </w:t>
      </w:r>
      <w:r>
        <w:rPr>
          <w:bCs/>
          <w:b/>
        </w:rPr>
        <w:t xml:space="preserve">Panel A</w:t>
      </w:r>
      <w:r>
        <w:t xml:space="preserve">: five worry sub-domains (health fears, economic, basic needs, social, safety/stigma).</w:t>
      </w:r>
      <w:r>
        <w:t xml:space="preserve"> </w:t>
      </w:r>
      <w:r>
        <w:rPr>
          <w:bCs/>
          <w:b/>
        </w:rPr>
        <w:t xml:space="preserve">Panel B</w:t>
      </w:r>
      <w:r>
        <w:t xml:space="preserve">: three z-standardised DASS-21 outcomes (depression, anxiety, stress).</w:t>
      </w:r>
      <w:r>
        <w:t xml:space="preserve"> </w:t>
      </w:r>
      <w:r>
        <w:rPr>
          <w:bCs/>
          <w:b/>
        </w:rPr>
        <w:t xml:space="preserve">Panel C</w:t>
      </w:r>
      <w:r>
        <w:t xml:space="preserve">: preventive-behaviour composites. Colours: Indonesia (#3C5488, navy), Nepal (#B07AA1, mauve), Vietnam (#4DBBD5, teal). Diamonds indicate group means.</w:t>
      </w:r>
    </w:p>
    <w:p>
      <w:pPr>
        <w:pStyle w:val="BodyText"/>
      </w:pPr>
      <w:r>
        <w:rPr>
          <w:bCs/>
          <w:b/>
        </w:rPr>
        <w:t xml:space="preserve">Figure 4.</w:t>
      </w:r>
      <w:r>
        <w:t xml:space="preserve"> </w:t>
      </w:r>
      <w:r>
        <w:t xml:space="preserve">Primary worry × outcome associations (MI Rubin-pooled, n = 1,462).</w:t>
      </w:r>
      <w:r>
        <w:t xml:space="preserve"> </w:t>
      </w:r>
      <w:r>
        <w:rPr>
          <w:bCs/>
          <w:b/>
        </w:rPr>
        <w:t xml:space="preserve">Panel A</w:t>
      </w:r>
      <w:r>
        <w:t xml:space="preserve">: Heatmap of the 15 pre-specified worry × DASS-21 coefficients from the M3 multilevel model, with asterisks denoting raw p &lt; 0.05 (see Table 4 for Benjamini–Hochberg-adjusted p values in the 15-test family). Colour encodes coefficient magnitude; rows are the five worry sub-domains, columns are the three DASS-21 outcomes.</w:t>
      </w:r>
      <w:r>
        <w:t xml:space="preserve"> </w:t>
      </w:r>
      <w:r>
        <w:rPr>
          <w:bCs/>
          <w:b/>
        </w:rPr>
        <w:t xml:space="preserve">Panel B</w:t>
      </w:r>
      <w:r>
        <w:t xml:space="preserve">: Forest plot of covariate coefficients (comorbidity count, age, perceived health threat, self-assessed infection risk, health-system trust, household livelihood disruption) from the same model, with 95% CIs. Colours: depression (#3C5488), anxiety (#B07AA1), stress (#4DBBD5).</w:t>
      </w:r>
    </w:p>
    <w:p>
      <w:pPr>
        <w:pStyle w:val="BodyText"/>
      </w:pPr>
      <w:r>
        <w:rPr>
          <w:bCs/>
          <w:b/>
        </w:rPr>
        <w:t xml:space="preserve">Figure 5.</w:t>
      </w:r>
      <w:r>
        <w:t xml:space="preserve"> </w:t>
      </w:r>
      <w:r>
        <w:t xml:space="preserve">Incremental variance explained by sequential block entry. Bars show marginal R² (averaged across m = 30 imputations) for each of the four nested models: M0 (country + site random intercept), M1 (+ Block 1 demographics), M2 (+ Block 2 crisis context), and M3 primary (+ five worry sub-domains). M3 is the primary inferential model (n = 1,462 across 13 sites); block ordering reflects conceptual priors, not data-driven entry.</w:t>
      </w:r>
    </w:p>
    <w:p>
      <w:pPr>
        <w:pStyle w:val="BodyText"/>
      </w:pPr>
      <w:r>
        <w:rPr>
          <w:bCs/>
          <w:b/>
        </w:rPr>
        <w:t xml:space="preserve">Figure 6.</w:t>
      </w:r>
      <w:r>
        <w:t xml:space="preserve"> </w:t>
      </w:r>
      <w:r>
        <w:t xml:space="preserve">Rubin-pooled mediation — five pre-specified indirect pathways. Pathway diagram with indirect-effect point estimates and Rubin-pooled 95% confidence intervals from the Schomaker–Heumann bootstrap-after-imputation framework (500 bootstraps on each of m = 30 imputations; Table S9). Percent mediated labels the share of the total association transmitted through each single pathway. The cross-sectional design precludes causal interpretation; estimates are decompositions of observed covariation under a hypothesised direction.</w:t>
      </w:r>
    </w:p>
    <w:p>
      <w:pPr>
        <w:pStyle w:val="BodyText"/>
      </w:pPr>
      <w:r>
        <w:rPr>
          <w:bCs/>
          <w:b/>
        </w:rPr>
        <w:t xml:space="preserve">Figure 7.</w:t>
      </w:r>
      <w:r>
        <w:t xml:space="preserve"> </w:t>
      </w:r>
      <w:r>
        <w:t xml:space="preserve">Country-stratified worry × outcome coefficient heatmap (complete-case multilevel M3 refit, n = 892; within-country k = 3 / 6 / 4). Cells show fixed-effect β with asterisks denoting raw p &lt; 0.05; no family-wise correction is applied across the 45 country × worry × outcome cells. Between-site variance components are not interpreted (Note S1) and level comparisons are descriptive only (scalar invariance not supported; §3.2).</w:t>
      </w:r>
    </w:p>
    <w:bookmarkEnd w:id="20"/>
    <w:bookmarkStart w:id="21" w:name="supplementary-figures"/>
    <w:p>
      <w:pPr>
        <w:pStyle w:val="Heading2"/>
      </w:pPr>
      <w:r>
        <w:t xml:space="preserve">Supplementary figures</w:t>
      </w:r>
    </w:p>
    <w:p>
      <w:pPr>
        <w:pStyle w:val="FirstParagraph"/>
      </w:pPr>
      <w:r>
        <w:rPr>
          <w:bCs/>
          <w:b/>
        </w:rPr>
        <w:t xml:space="preserve">Figure S1.</w:t>
      </w:r>
      <w:r>
        <w:t xml:space="preserve"> </w:t>
      </w:r>
      <w:r>
        <w:t xml:space="preserve">MICE chain-mean convergence for the 30-imputation primary specification. Trace plots of chain means across 10 iterations for each imputed variable, separately by imputation index. Acceptable mixing is indicated by horizontal, intermingled trajectories without monotonic drift.</w:t>
      </w:r>
    </w:p>
    <w:p>
      <w:pPr>
        <w:pStyle w:val="BodyText"/>
      </w:pPr>
      <w:r>
        <w:rPr>
          <w:bCs/>
          <w:b/>
        </w:rPr>
        <w:t xml:space="preserve">Figure S2.</w:t>
      </w:r>
      <w:r>
        <w:t xml:space="preserve"> </w:t>
      </w:r>
      <w:r>
        <w:t xml:space="preserve">M3 residual diagnostics (standardised residuals versus fitted values, Q–Q plot, and residual density) aggregated across the 30 imputations for each outcome. Approximate normality and homoscedasticity assumptions.</w:t>
      </w:r>
    </w:p>
    <w:p>
      <w:pPr>
        <w:pStyle w:val="BodyText"/>
      </w:pPr>
      <w:r>
        <w:rPr>
          <w:bCs/>
          <w:b/>
        </w:rPr>
        <w:t xml:space="preserve">Figure S3.</w:t>
      </w:r>
      <w:r>
        <w:t xml:space="preserve"> </w:t>
      </w:r>
      <w:r>
        <w:t xml:space="preserve">Simple-slopes visualisation of community-support × worry sub-domain interactions (Table S11 Panel A). Points show post-hoc simple slopes at representative values of the community-support scale; family-wise adjustment not applied. Interpret as exploratory.</w:t>
      </w:r>
    </w:p>
    <w:p>
      <w:pPr>
        <w:pStyle w:val="BodyText"/>
      </w:pPr>
      <w:r>
        <w:rPr>
          <w:bCs/>
          <w:b/>
        </w:rPr>
        <w:t xml:space="preserve">Figure S4.</w:t>
      </w:r>
      <w:r>
        <w:t xml:space="preserve"> </w:t>
      </w:r>
      <w:r>
        <w:t xml:space="preserve">Simple-slopes visualisation of worry × location-type interactions (Table S11 Panel D). Each panel plots the worry × outcome coefficient separately for urban, peri-urban, rural, and remote sites. Family-wise adjustment not applied; interpret as exploratory.</w:t>
      </w:r>
    </w:p>
    <w:p>
      <w:pPr>
        <w:pStyle w:val="BodyText"/>
      </w:pPr>
      <w:r>
        <w:rPr>
          <w:bCs/>
          <w:b/>
        </w:rPr>
        <w:t xml:space="preserve">Figure S5.</w:t>
      </w:r>
      <w:r>
        <w:t xml:space="preserve"> </w:t>
      </w:r>
      <w:r>
        <w:t xml:space="preserve">Site-level leave-one-out sensitivity forest plot. For each of the 15 pre-specified worry × outcome associations, points show the re-estimated β when each of the 13 sites is successively excluded. Horizontal reference line marks the primary pooled estimate; vertical jitter distinguishes individual site-removed refits.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2026-04-18T05:47:58Z</dcterms:created>
  <dcterms:modified xsi:type="dcterms:W3CDTF">2026-04-18T05:47:58Z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