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able-legends"/>
    <w:p>
      <w:pPr>
        <w:pStyle w:val="Heading1"/>
      </w:pPr>
      <w:r>
        <w:t xml:space="preserve">Table legends</w:t>
      </w:r>
    </w:p>
    <w:bookmarkStart w:id="20" w:name="main-tables"/>
    <w:p>
      <w:pPr>
        <w:pStyle w:val="Heading2"/>
      </w:pPr>
      <w:r>
        <w:t xml:space="preserve">Main tables</w:t>
      </w:r>
    </w:p>
    <w:p>
      <w:pPr>
        <w:pStyle w:val="FirstParagraph"/>
      </w:pPr>
      <w:r>
        <w:rPr>
          <w:bCs/>
          <w:b/>
        </w:rPr>
        <w:t xml:space="preserve">Table 1.</w:t>
      </w:r>
      <w:r>
        <w:t xml:space="preserve"> </w:t>
      </w:r>
      <w:r>
        <w:t xml:space="preserve">Sample characteristics by country. Descriptive comparison of demographic, socioeconomic, and crisis-context variables across Indonesia (n = 607), Nepal (n = 460), and Vietnam (n = 395). Continuous variables are summarised as median (IQR) or mean (SD) as indicated; categorical variables as n (%). Kruskal–Wallis tests for continuous variables and χ² or Fisher’s exact tests for categorical variables.</w:t>
      </w:r>
    </w:p>
    <w:p>
      <w:pPr>
        <w:pStyle w:val="BodyText"/>
      </w:pPr>
      <w:r>
        <w:rPr>
          <w:bCs/>
          <w:b/>
        </w:rPr>
        <w:t xml:space="preserve">Table 2.</w:t>
      </w:r>
      <w:r>
        <w:t xml:space="preserve"> </w:t>
      </w:r>
      <w:r>
        <w:t xml:space="preserve">Psychometric properties of composite measures. Cronbach’s α and McDonald’s ω total for the three DASS-21 subscales, the five worry sub-domains, the original 21-item worry composite, behavioural compliance, preventive behaviours, and lifestyle disruption (n complete per scale indicated).</w:t>
      </w:r>
    </w:p>
    <w:p>
      <w:pPr>
        <w:pStyle w:val="BodyText"/>
      </w:pPr>
      <w:r>
        <w:rPr>
          <w:bCs/>
          <w:b/>
        </w:rPr>
        <w:t xml:space="preserve">Table 3.</w:t>
      </w:r>
      <w:r>
        <w:t xml:space="preserve"> </w:t>
      </w:r>
      <w:r>
        <w:t xml:space="preserve">Correlation matrix (Spearman) among key constructs. Pairwise correlations between the five worry sub-domains, age, education, comorbidity count, livelihood disruption, perceived health threat, self-assessed infection risk, health-system trust, and the three z-standardised DASS-21 outcomes (n = 1,462 after MI pooling).</w:t>
      </w:r>
    </w:p>
    <w:p>
      <w:pPr>
        <w:pStyle w:val="BodyText"/>
      </w:pPr>
      <w:r>
        <w:rPr>
          <w:bCs/>
          <w:b/>
        </w:rPr>
        <w:t xml:space="preserve">Table 4.</w:t>
      </w:r>
      <w:r>
        <w:t xml:space="preserve"> </w:t>
      </w:r>
      <w:r>
        <w:t xml:space="preserve">Primary multilevel results — MI Rubin-pooled (n = 1,462). Fixed-effect coefficients, 95% confidence intervals, raw p values, FMI, and Benjamini–Hochberg-adjusted p values (15-test pre-specified worry × outcome family) from the primary linear mixed-effects models with random intercept for site, fitted on each of m = 30 MICE imputations and Rubin-pooled. One block per outcome (depression, anxiety, stress); rows include country fixed effects, Block 1 demographics, Block 2 crisis context, and the five worry sub-domains.</w:t>
      </w:r>
    </w:p>
    <w:p>
      <w:pPr>
        <w:pStyle w:val="BodyText"/>
      </w:pPr>
      <w:r>
        <w:rPr>
          <w:bCs/>
          <w:b/>
        </w:rPr>
        <w:t xml:space="preserve">Table 5.</w:t>
      </w:r>
      <w:r>
        <w:t xml:space="preserve"> </w:t>
      </w:r>
      <w:r>
        <w:t xml:space="preserve">Mediation: indirect effects (complete-case bootstrap comparator). Bias-corrected percentile bootstrap estimates of the five pre-specified indirect pathways (500 bootstraps on complete cases, n = 1,340–1,411 per pathway). Reported as comparator only; see Table S9 for the Rubin-pooled primary mediation analysis.</w:t>
      </w:r>
    </w:p>
    <w:p>
      <w:pPr>
        <w:pStyle w:val="BodyText"/>
      </w:pPr>
      <w:r>
        <w:rPr>
          <w:bCs/>
          <w:b/>
        </w:rPr>
        <w:t xml:space="preserve">Table 6.</w:t>
      </w:r>
      <w:r>
        <w:t xml:space="preserve"> </w:t>
      </w:r>
      <w:r>
        <w:t xml:space="preserve">Country-stratified regression coefficients (complete-case multilevel; within-country k = 3 / 6 / 4). Fixed-effect estimates from the M3 specification fitted separately within Indonesia, Nepal, and Vietnam. Presented descriptively because each within-country cluster count falls below the Maas–Hox threshold (Note S1); asterisks denote fixed-effect p &lt; 0.05 without family-wise correction across the 45 country × worry × outcome cells.</w:t>
      </w:r>
    </w:p>
    <w:bookmarkEnd w:id="20"/>
    <w:bookmarkStart w:id="21" w:name="supplementary-tables"/>
    <w:p>
      <w:pPr>
        <w:pStyle w:val="Heading2"/>
      </w:pPr>
      <w:r>
        <w:t xml:space="preserve">Supplementary tables</w:t>
      </w:r>
    </w:p>
    <w:p>
      <w:pPr>
        <w:pStyle w:val="FirstParagraph"/>
      </w:pPr>
      <w:r>
        <w:rPr>
          <w:bCs/>
          <w:b/>
        </w:rPr>
        <w:t xml:space="preserve">Table S1.</w:t>
      </w:r>
      <w:r>
        <w:t xml:space="preserve"> </w:t>
      </w:r>
      <w:r>
        <w:t xml:space="preserve">Variable construction — items, scoring rules, scale ranges, and missing-data handling for every variable used in the analysis.</w:t>
      </w:r>
    </w:p>
    <w:p>
      <w:pPr>
        <w:pStyle w:val="BodyText"/>
      </w:pPr>
      <w:r>
        <w:rPr>
          <w:bCs/>
          <w:b/>
        </w:rPr>
        <w:t xml:space="preserve">Table S2.</w:t>
      </w:r>
      <w:r>
        <w:t xml:space="preserve"> </w:t>
      </w:r>
      <w:r>
        <w:t xml:space="preserve">Split-sample worry inventory validation — EFA loadings on the development half (n = 660; maximum-likelihood, oblimin rotation, polychoric correlations; Horn’s parallel analysis) and hold-out CFA fit (n = 660; WLSMV; CFI = 0.990, TLI = 0.988, RMSEA = 0.068, SRMR = 0.076).</w:t>
      </w:r>
    </w:p>
    <w:p>
      <w:pPr>
        <w:pStyle w:val="BodyText"/>
      </w:pPr>
      <w:r>
        <w:rPr>
          <w:bCs/>
          <w:b/>
        </w:rPr>
        <w:t xml:space="preserve">Table S3.</w:t>
      </w:r>
      <w:r>
        <w:t xml:space="preserve"> </w:t>
      </w:r>
      <w:r>
        <w:t xml:space="preserve">Measurement invariance — DASS-21 three-factor model (configural, metric, full scalar, and partial scalar models) tested across Indonesia, Nepal, and Vietnam using MLR estimator.</w:t>
      </w:r>
    </w:p>
    <w:p>
      <w:pPr>
        <w:pStyle w:val="BodyText"/>
      </w:pPr>
      <w:r>
        <w:rPr>
          <w:bCs/>
          <w:b/>
        </w:rPr>
        <w:t xml:space="preserve">Table S4.</w:t>
      </w:r>
      <w:r>
        <w:t xml:space="preserve"> </w:t>
      </w:r>
      <w:r>
        <w:t xml:space="preserve">Measurement invariance — worry five-factor model with sequential intercept-freeing to establish partial scalar invariance.</w:t>
      </w:r>
    </w:p>
    <w:p>
      <w:pPr>
        <w:pStyle w:val="BodyText"/>
      </w:pPr>
      <w:r>
        <w:rPr>
          <w:bCs/>
          <w:b/>
        </w:rPr>
        <w:t xml:space="preserve">Table S5.</w:t>
      </w:r>
      <w:r>
        <w:t xml:space="preserve"> </w:t>
      </w:r>
      <w:r>
        <w:t xml:space="preserve">Missing data pattern — complete vs incomplete-case comparison and per-coefficient fraction of missing information (FMI) across MI imputations.</w:t>
      </w:r>
    </w:p>
    <w:p>
      <w:pPr>
        <w:pStyle w:val="BodyText"/>
      </w:pPr>
      <w:r>
        <w:rPr>
          <w:bCs/>
          <w:b/>
        </w:rPr>
        <w:t xml:space="preserve">Table S6.</w:t>
      </w:r>
      <w:r>
        <w:t xml:space="preserve"> </w:t>
      </w:r>
      <w:r>
        <w:t xml:space="preserve">MI congeniality sensitivity — primary coefficients with site dummies retained in the imputation model compared with the primary MICE specification.</w:t>
      </w:r>
    </w:p>
    <w:p>
      <w:pPr>
        <w:pStyle w:val="BodyText"/>
      </w:pPr>
      <w:r>
        <w:rPr>
          <w:bCs/>
          <w:b/>
        </w:rPr>
        <w:t xml:space="preserve">Table S7.</w:t>
      </w:r>
      <w:r>
        <w:t xml:space="preserve"> </w:t>
      </w:r>
      <w:r>
        <w:t xml:space="preserve">Variance inflation factors (VIF) for the M3 fixed-effects block.</w:t>
      </w:r>
    </w:p>
    <w:p>
      <w:pPr>
        <w:pStyle w:val="BodyText"/>
      </w:pPr>
      <w:r>
        <w:rPr>
          <w:bCs/>
          <w:b/>
        </w:rPr>
        <w:t xml:space="preserve">Table S8.</w:t>
      </w:r>
      <w:r>
        <w:t xml:space="preserve"> </w:t>
      </w:r>
      <w:r>
        <w:t xml:space="preserve">Cohen’s f² for the worry block (M3 over M2) across the three outcomes.</w:t>
      </w:r>
    </w:p>
    <w:p>
      <w:pPr>
        <w:pStyle w:val="BodyText"/>
      </w:pPr>
      <w:r>
        <w:rPr>
          <w:bCs/>
          <w:b/>
        </w:rPr>
        <w:t xml:space="preserve">Table S9.</w:t>
      </w:r>
      <w:r>
        <w:t xml:space="preserve"> </w:t>
      </w:r>
      <w:r>
        <w:t xml:space="preserve">Mediation — Rubin-pooled indirect effects across m = 30 imputations using the Schomaker–Heumann bootstrap-after-imputation framework. Five pre-specified pathways.</w:t>
      </w:r>
    </w:p>
    <w:p>
      <w:pPr>
        <w:pStyle w:val="BodyText"/>
      </w:pPr>
      <w:r>
        <w:rPr>
          <w:bCs/>
          <w:b/>
        </w:rPr>
        <w:t xml:space="preserve">Table S10.</w:t>
      </w:r>
      <w:r>
        <w:t xml:space="preserve"> </w:t>
      </w:r>
      <w:r>
        <w:t xml:space="preserve">Structural equation model — fit indices and standardised structural paths for the five-factor worry specification and the four-factor merged-material-deprivation specification (both WLSMV). Reports empirical under-identification (negative residual variance) in both configurations.</w:t>
      </w:r>
    </w:p>
    <w:p>
      <w:pPr>
        <w:pStyle w:val="BodyText"/>
      </w:pPr>
      <w:r>
        <w:rPr>
          <w:bCs/>
          <w:b/>
        </w:rPr>
        <w:t xml:space="preserve">Table S11.</w:t>
      </w:r>
      <w:r>
        <w:t xml:space="preserve"> </w:t>
      </w:r>
      <w:r>
        <w:t xml:space="preserve">Exploratory moderation families — community support × worry, stigma contextual decomposition (within/between-site) and stigma × healthcare-worker-in-household, worry × location-type, and gender × worry / age × worry interactions. All reported for transparency; none survived family-wise adjustment.</w:t>
      </w:r>
    </w:p>
    <w:p>
      <w:pPr>
        <w:pStyle w:val="BodyText"/>
      </w:pPr>
      <w:r>
        <w:rPr>
          <w:bCs/>
          <w:b/>
        </w:rPr>
        <w:t xml:space="preserve">Table S12.</w:t>
      </w:r>
      <w:r>
        <w:t xml:space="preserve"> </w:t>
      </w:r>
      <w:r>
        <w:t xml:space="preserve">Binary DASS-21 caseness — multilevel logistic regression (glmer with site random intercept) using DASS severity thresholds to confirm directional consistency with continuous-outcome findings.</w:t>
      </w:r>
    </w:p>
    <w:p>
      <w:pPr>
        <w:pStyle w:val="BodyText"/>
      </w:pPr>
      <w:r>
        <w:rPr>
          <w:bCs/>
          <w:b/>
        </w:rPr>
        <w:t xml:space="preserve">Table S13.</w:t>
      </w:r>
      <w:r>
        <w:t xml:space="preserve"> </w:t>
      </w:r>
      <w:r>
        <w:t xml:space="preserve">Attenuation-corrected worry coefficients (β_obs / √reliability) for the primary 15 worry × outcome associations.</w:t>
      </w:r>
    </w:p>
    <w:p>
      <w:pPr>
        <w:pStyle w:val="BodyText"/>
      </w:pPr>
      <w:r>
        <w:rPr>
          <w:bCs/>
          <w:b/>
        </w:rPr>
        <w:t xml:space="preserve">Table S14.</w:t>
      </w:r>
      <w:r>
        <w:t xml:space="preserve"> </w:t>
      </w:r>
      <w:r>
        <w:t xml:space="preserve">Site-level leave-one-out — maximum |Δβ| for the 15 worry × outcome coefficients when each of the 13 sites is successively excluded.</w:t>
      </w:r>
    </w:p>
    <w:p>
      <w:pPr>
        <w:pStyle w:val="BodyText"/>
      </w:pPr>
      <w:r>
        <w:rPr>
          <w:bCs/>
          <w:b/>
        </w:rPr>
        <w:t xml:space="preserve">Table S15.</w:t>
      </w:r>
      <w:r>
        <w:t xml:space="preserve"> </w:t>
      </w:r>
      <w:r>
        <w:t xml:space="preserve">Harman’s single-factor test (common-method variance diagnostic); reports first-factor variance proportion.</w:t>
      </w:r>
    </w:p>
    <w:p>
      <w:pPr>
        <w:pStyle w:val="BodyText"/>
      </w:pPr>
      <w:r>
        <w:rPr>
          <w:bCs/>
          <w:b/>
        </w:rPr>
        <w:t xml:space="preserve">Table S16.</w:t>
      </w:r>
      <w:r>
        <w:t xml:space="preserve"> </w:t>
      </w:r>
      <w:r>
        <w:t xml:space="preserve">Age non-linearity — natural cubic spline (df = 4) versus linear comparison via likelihood-ratio test.</w:t>
      </w:r>
    </w:p>
    <w:p>
      <w:pPr>
        <w:pStyle w:val="BodyText"/>
      </w:pPr>
      <w:r>
        <w:rPr>
          <w:bCs/>
          <w:b/>
        </w:rPr>
        <w:t xml:space="preserve">Table S17.</w:t>
      </w:r>
      <w:r>
        <w:t xml:space="preserve"> </w:t>
      </w:r>
      <w:r>
        <w:t xml:space="preserve">Protocol-fidelity sensitivity — coefficient stability when 38 off-protocol Vietnamese respondents are re-included (14-site sample).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2026-04-18T05:47:58Z</dcterms:created>
  <dcterms:modified xsi:type="dcterms:W3CDTF">2026-04-18T05:47:58Z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