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thods-supplementary-notes"/>
    <w:p>
      <w:pPr>
        <w:pStyle w:val="Heading1"/>
      </w:pPr>
      <w:r>
        <w:t xml:space="preserve">Methods — Supplementary Notes</w:t>
      </w:r>
    </w:p>
    <w:p>
      <w:pPr>
        <w:pStyle w:val="FirstParagraph"/>
      </w:pPr>
      <w:r>
        <w:t xml:space="preserve">Detailed methodological notes expanding on technical points referenced in the</w:t>
      </w:r>
      <w:r>
        <w:t xml:space="preserve"> </w:t>
      </w:r>
      <w:r>
        <w:t xml:space="preserve">main Methods section. Numbered in the order of first mention in the main text.</w:t>
      </w:r>
    </w:p>
    <w:p>
      <w:r>
        <w:pict>
          <v:rect style="width:0;height:1.5pt" o:hralign="center" o:hrstd="t" o:hr="t"/>
        </w:pict>
      </w:r>
    </w:p>
    <w:bookmarkStart w:id="20" w:name="X9a21f8d652f8dc9f46c275e368cfddd2952902b"/>
    <w:p>
      <w:pPr>
        <w:pStyle w:val="Heading2"/>
      </w:pPr>
      <w:r>
        <w:t xml:space="preserve">Supplementary Note S1 — Cluster-count justification for k = 13</w:t>
      </w:r>
    </w:p>
    <w:p>
      <w:pPr>
        <w:pStyle w:val="FirstParagraph"/>
      </w:pPr>
      <w:r>
        <w:t xml:space="preserve">Multilevel linear modelling with k = 13 clusters falls below the Maas and Hox</w:t>
      </w:r>
      <w:r>
        <w:t xml:space="preserve"> </w:t>
      </w:r>
      <w:r>
        <w:t xml:space="preserve">(2005; [38]) benchmark of k ≈ 30 for reasonably calibrated fixed-effect</w:t>
      </w:r>
      <w:r>
        <w:t xml:space="preserve"> </w:t>
      </w:r>
      <w:r>
        <w:t xml:space="preserve">standard errors and their k ≥ 50 benchmark for variance-component</w:t>
      </w:r>
      <w:r>
        <w:t xml:space="preserve"> </w:t>
      </w:r>
      <w:r>
        <w:t xml:space="preserve">interpretation. We treat this as a substantive constraint rather than a</w:t>
      </w:r>
      <w:r>
        <w:t xml:space="preserve"> </w:t>
      </w:r>
      <w:r>
        <w:t xml:space="preserve">contraindication, for three reasons.</w:t>
      </w:r>
    </w:p>
    <w:p>
      <w:pPr>
        <w:pStyle w:val="BodyText"/>
      </w:pPr>
      <w:r>
        <w:t xml:space="preserve">First, REML fixed-effect</w:t>
      </w:r>
      <w:r>
        <w:t xml:space="preserve"> </w:t>
      </w:r>
      <w:r>
        <w:rPr>
          <w:iCs/>
          <w:i/>
        </w:rPr>
        <w:t xml:space="preserve">point estimates</w:t>
      </w:r>
      <w:r>
        <w:t xml:space="preserve"> </w:t>
      </w:r>
      <w:r>
        <w:t xml:space="preserve">remain approximately unbiased at</w:t>
      </w:r>
      <w:r>
        <w:t xml:space="preserve"> </w:t>
      </w:r>
      <w:r>
        <w:t xml:space="preserve">small k; the Maas–Hox concern is standard-error calibration, not bias. We</w:t>
      </w:r>
      <w:r>
        <w:t xml:space="preserve"> </w:t>
      </w:r>
      <w:r>
        <w:t xml:space="preserve">therefore report fixed-effect coefficients with the caveat that their</w:t>
      </w:r>
      <w:r>
        <w:t xml:space="preserve"> </w:t>
      </w:r>
      <w:r>
        <w:t xml:space="preserve">nominal confidence intervals are likely slightly too narrow in the direction</w:t>
      </w:r>
      <w:r>
        <w:t xml:space="preserve"> </w:t>
      </w:r>
      <w:r>
        <w:t xml:space="preserve">of anti-conservatism.</w:t>
      </w:r>
    </w:p>
    <w:p>
      <w:pPr>
        <w:pStyle w:val="BodyText"/>
      </w:pPr>
      <w:r>
        <w:t xml:space="preserve">Second, to bound this anti-conservative direction we fit CR2 cluster-robust</w:t>
      </w:r>
      <w:r>
        <w:t xml:space="preserve"> </w:t>
      </w:r>
      <w:r>
        <w:t xml:space="preserve">standard errors with Satterthwaite adjustment (Pustejovsky and Tipton 2018;</w:t>
      </w:r>
      <w:r>
        <w:t xml:space="preserve"> </w:t>
      </w:r>
      <w:r>
        <w:t xml:space="preserve">[39]) as a pre-specified sensitivity check. In preliminary comparisons,</w:t>
      </w:r>
      <w:r>
        <w:t xml:space="preserve"> </w:t>
      </w:r>
      <w:r>
        <w:t xml:space="preserve">CR2 Satterthwaite degrees of freedom contracted to 2–5 for several of the</w:t>
      </w:r>
      <w:r>
        <w:t xml:space="preserve"> </w:t>
      </w:r>
      <w:r>
        <w:t xml:space="preserve">worry coefficients. At such low df the CR2-based confidence intervals are</w:t>
      </w:r>
      <w:r>
        <w:t xml:space="preserve"> </w:t>
      </w:r>
      <w:r>
        <w:t xml:space="preserve">several-fold wider than the REML-based intervals and are treated as a</w:t>
      </w:r>
      <w:r>
        <w:t xml:space="preserve"> </w:t>
      </w:r>
      <w:r>
        <w:t xml:space="preserve">conservative upper bound on inference rather than as the primary inferential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Third, we deliberately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interpret individual site-level variance</w:t>
      </w:r>
      <w:r>
        <w:t xml:space="preserve"> </w:t>
      </w:r>
      <w:r>
        <w:t xml:space="preserve">components or individual site random-intercept BLUPs, both because of the</w:t>
      </w:r>
      <w:r>
        <w:t xml:space="preserve"> </w:t>
      </w:r>
      <w:r>
        <w:t xml:space="preserve">Maas–Hox k ≥ 50 benchmark for variance-component precision and because the</w:t>
      </w:r>
      <w:r>
        <w:t xml:space="preserve"> </w:t>
      </w:r>
      <w:r>
        <w:t xml:space="preserve">purposive site-selection strategy of the parent SPEAR study (§2.1) makes the</w:t>
      </w:r>
      <w:r>
        <w:t xml:space="preserve"> </w:t>
      </w:r>
      <w:r>
        <w:t xml:space="preserve">13 sites non-exchangeable in a way that conventional random-effect theory</w:t>
      </w:r>
      <w:r>
        <w:t xml:space="preserve"> </w:t>
      </w:r>
      <w:r>
        <w:t xml:space="preserve">assumes. Between-site clustering is used solely to adjust the fixed-effect</w:t>
      </w:r>
      <w:r>
        <w:t xml:space="preserve"> </w:t>
      </w:r>
      <w:r>
        <w:t xml:space="preserve">standard errors for within-site correlation. Cross-level interactions</w:t>
      </w:r>
      <w:r>
        <w:t xml:space="preserve"> </w:t>
      </w:r>
      <w:r>
        <w:t xml:space="preserve">involving the site-level community-support scale are explicitly flagged as</w:t>
      </w:r>
      <w:r>
        <w:t xml:space="preserve"> </w:t>
      </w:r>
      <w:r>
        <w:t xml:space="preserve">preliminary.</w:t>
      </w:r>
    </w:p>
    <w:p>
      <w:r>
        <w:pict>
          <v:rect style="width:0;height:1.5pt" o:hralign="center" o:hrstd="t" o:hr="t"/>
        </w:pict>
      </w:r>
    </w:p>
    <w:bookmarkEnd w:id="20"/>
    <w:bookmarkStart w:id="21" w:name="Xa971d068803165d9d7b61b7587fbc664f29f047"/>
    <w:p>
      <w:pPr>
        <w:pStyle w:val="Heading2"/>
      </w:pPr>
      <w:r>
        <w:t xml:space="preserve">Supplementary Note S2 — Structural equation model specifications</w:t>
      </w:r>
    </w:p>
    <w:p>
      <w:pPr>
        <w:pStyle w:val="FirstParagraph"/>
      </w:pPr>
      <w:r>
        <w:t xml:space="preserve">Two confirmatory SEMs were fitted in</w:t>
      </w:r>
      <w:r>
        <w:t xml:space="preserve"> </w:t>
      </w:r>
      <w:r>
        <w:rPr>
          <w:iCs/>
          <w:i/>
        </w:rPr>
        <w:t xml:space="preserve">lavaan</w:t>
      </w:r>
      <w:r>
        <w:t xml:space="preserve"> </w:t>
      </w:r>
      <w:r>
        <w:t xml:space="preserve">to jointly model the worry</w:t>
      </w:r>
      <w:r>
        <w:t xml:space="preserve"> </w:t>
      </w:r>
      <w:r>
        <w:t xml:space="preserve">latent structure and its associations with the DASS-21 factors.</w:t>
      </w:r>
    </w:p>
    <w:p>
      <w:pPr>
        <w:pStyle w:val="BodyText"/>
      </w:pPr>
      <w:r>
        <w:rPr>
          <w:bCs/>
          <w:b/>
        </w:rPr>
        <w:t xml:space="preserve">Five-factor specification</w:t>
      </w:r>
      <w:r>
        <w:t xml:space="preserve"> </w:t>
      </w:r>
      <w:r>
        <w:t xml:space="preserve">(theorised structure): worry indicators load</w:t>
      </w:r>
      <w:r>
        <w:t xml:space="preserve"> </w:t>
      </w:r>
      <w:r>
        <w:t xml:space="preserve">on five correlated factors (health fears, economic, basic needs, social,</w:t>
      </w:r>
      <w:r>
        <w:t xml:space="preserve"> </w:t>
      </w:r>
      <w:r>
        <w:t xml:space="preserve">safety/stigma) identical to the primary-regression decomposition in §2.2,</w:t>
      </w:r>
      <w:r>
        <w:t xml:space="preserve"> </w:t>
      </w:r>
      <w:r>
        <w:t xml:space="preserve">with the three DASS-21 factors (depression, anxiety, stress) regressed on</w:t>
      </w:r>
      <w:r>
        <w:t xml:space="preserve"> </w:t>
      </w:r>
      <w:r>
        <w:t xml:space="preserve">all five worry factors plus perceived risk, comorbidity, age, and gender.</w:t>
      </w:r>
      <w:r>
        <w:t xml:space="preserve"> </w:t>
      </w:r>
      <w:r>
        <w:t xml:space="preserve">Fitted with WLSMV on ordinal indicators: CFI = 0.997, TLI = 0.998,</w:t>
      </w:r>
      <w:r>
        <w:t xml:space="preserve"> </w:t>
      </w:r>
      <w:r>
        <w:t xml:space="preserve">RMSEA = 0.054, SRMR = 0.080 (Table S10). Although the global fit indices</w:t>
      </w:r>
      <w:r>
        <w:t xml:space="preserve"> </w:t>
      </w:r>
      <w:r>
        <w:t xml:space="preserve">exceed conventional thresholds, the post-estimation check flagged negative</w:t>
      </w:r>
      <w:r>
        <w:t xml:space="preserve"> </w:t>
      </w:r>
      <w:r>
        <w:t xml:space="preserve">residual variance for at least one indicator, producing a warning</w:t>
      </w:r>
      <w:r>
        <w:t xml:space="preserve"> </w:t>
      </w:r>
      <w:r>
        <w:t xml:space="preserve">consistent with empirical under-identification at this level of</w:t>
      </w:r>
      <w:r>
        <w:t xml:space="preserve"> </w:t>
      </w:r>
      <w:r>
        <w:t xml:space="preserve">worry-sub-domain disaggregation.</w:t>
      </w:r>
    </w:p>
    <w:p>
      <w:pPr>
        <w:pStyle w:val="BodyText"/>
      </w:pPr>
      <w:r>
        <w:rPr>
          <w:bCs/>
          <w:b/>
        </w:rPr>
        <w:t xml:space="preserve">Four-factor material-deprivation specification</w:t>
      </w:r>
      <w:r>
        <w:t xml:space="preserve">: basic-needs and economic</w:t>
      </w:r>
      <w:r>
        <w:t xml:space="preserve"> </w:t>
      </w:r>
      <w:r>
        <w:t xml:space="preserve">worry are merged into a single material-deprivation factor; the remaining</w:t>
      </w:r>
      <w:r>
        <w:t xml:space="preserve"> </w:t>
      </w:r>
      <w:r>
        <w:t xml:space="preserve">three worry factors and the DASS-21 structure are unchanged. Fitted with</w:t>
      </w:r>
      <w:r>
        <w:t xml:space="preserve"> </w:t>
      </w:r>
      <w:r>
        <w:t xml:space="preserve">WLSMV: CFI = 0.997, TLI = 0.997, RMSEA = 0.058. The post-estimation check</w:t>
      </w:r>
      <w:r>
        <w:t xml:space="preserve"> </w:t>
      </w:r>
      <w:r>
        <w:t xml:space="preserve">still flags negative residual variance, indicating that the identification</w:t>
      </w:r>
      <w:r>
        <w:t xml:space="preserve"> </w:t>
      </w:r>
      <w:r>
        <w:t xml:space="preserve">concern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resolved by factor merging. Both specifications reproduce</w:t>
      </w:r>
      <w:r>
        <w:t xml:space="preserve"> </w:t>
      </w:r>
      <w:r>
        <w:t xml:space="preserve">the directional pattern of worry → DASS-21 associations found in the</w:t>
      </w:r>
      <w:r>
        <w:t xml:space="preserve"> </w:t>
      </w:r>
      <w:r>
        <w:t xml:space="preserve">multilevel regression; neither is used for primary inference.</w:t>
      </w:r>
    </w:p>
    <w:p>
      <w:pPr>
        <w:pStyle w:val="BodyText"/>
      </w:pPr>
      <w:r>
        <w:t xml:space="preserve">A pure-CFA refit of the five-factor worry measurement model under MLR</w:t>
      </w:r>
      <w:r>
        <w:t xml:space="preserve"> </w:t>
      </w:r>
      <w:r>
        <w:t xml:space="preserve">(no structural paths, no DASS-21 indicators; Table S10 Panel C) yielded</w:t>
      </w:r>
      <w:r>
        <w:t xml:space="preserve"> </w:t>
      </w:r>
      <w:r>
        <w:t xml:space="preserve">CFI = 0.837 and RMSEA = 0.070 — the appropriate reference for absolute</w:t>
      </w:r>
      <w:r>
        <w:t xml:space="preserve"> </w:t>
      </w:r>
      <w:r>
        <w:t xml:space="preserve">fit under MLR with ordinal items. Methodological and substantive</w:t>
      </w:r>
      <w:r>
        <w:t xml:space="preserve"> </w:t>
      </w:r>
      <w:r>
        <w:t xml:space="preserve">interpretation of both SEMs is bounded by these identification warnings;</w:t>
      </w:r>
      <w:r>
        <w:t xml:space="preserve"> </w:t>
      </w:r>
      <w:r>
        <w:t xml:space="preserve">the multilevel regression remains the primary analytic framework, and SEM</w:t>
      </w:r>
      <w:r>
        <w:t xml:space="preserve"> </w:t>
      </w:r>
      <w:r>
        <w:t xml:space="preserve">results are reported as a convergence check rather than as an independent</w:t>
      </w:r>
      <w:r>
        <w:t xml:space="preserve"> </w:t>
      </w:r>
      <w:r>
        <w:t xml:space="preserve">inferential model.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2026-04-18T06:07:01Z</dcterms:created>
  <dcterms:modified xsi:type="dcterms:W3CDTF">2026-04-18T06:07:01Z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