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aps/>
        </w:rPr>
        <w:t xml:space="preserve">DRAFT — REQUIRES LICENSED REVIEW — NOT LEGAL ADVICE</w:t>
      </w:r>
    </w:p>
    <w:p>
      <w:pPr>
        <w:pStyle w:val="Title"/>
      </w:pPr>
      <w:r>
        <w:t xml:space="preserve">Research: Regulatory taking requiring just compensation</w:t>
      </w:r>
    </w:p>
    <w:p>
      <w:pPr>
        <w:jc w:val="center"/>
      </w:pPr>
      <w:r>
        <w:rPr>
          <w:i/>
          <w:iCs/>
        </w:rPr>
        <w:t xml:space="preserve">A family v. State (implied)</w:t>
      </w:r>
    </w:p>
    <w:p>
      <w:r>
        <w:rPr>
          <w:color w:val="737373"/>
          <w:sz w:val="18"/>
          <w:szCs w:val="18"/>
        </w:rPr>
        <w:t xml:space="preserve">Generated 2026-08-30T23:30:35.459Z · verification: pass · {"citation:verified":5}</w:t>
      </w:r>
    </w:p>
    <w:p>
      <w:pPr>
        <w:pStyle w:val="Heading1"/>
      </w:pPr>
      <w:r>
        <w:t xml:space="preserve">Issues, Rules, Analysis, Conclusion</w:t>
      </w:r>
    </w:p>
    <w:p>
      <w:r>
        <w:t xml:space="preserve">ISSUE: Whether the state's coastal regulation that bars any permanent habitable structure on the family's beachfront lots constitutes a regulatory taking requiring just compensation under the Fifth Amendment.</w:t>
      </w:r>
    </w:p>
    <w:p>
      <w:r>
        <w:t xml:space="preserve">RULE: A regulatory taking occurs when a government regulation deprives a property owner of all economically viable use of their land, effectively rendering the property valueless. In such cases, the government must provide just compensation. This principle was established in Lucas v. South Carolina Coastal Council, where the Supreme Court held that a regulation that categorically prohibits all economically beneficial use of land may constitute a compensable taking. (505 U.S. 1003, 1019).</w:t>
      </w:r>
    </w:p>
    <w:p>
      <w:r>
        <w:t xml:space="preserve">APPLICATION: The family owns beachfront lots that were purchased for $500,000 as an investment. A new state coastal regulation bars any permanent habitable structure on the lots to prevent erosion. Appraisals indicate that the lots have no economically viable use and have a resale value of approximately $5,000 as unbuildable. This situation mirrors the facts in Lucas, where the regulation rendered the property valueless by prohibiting any permanent habitable structure. The regulation here similarly deprives the family of all economically viable use of their land, as the lots cannot be developed for residential or commercial purposes due to the regulation.</w:t>
      </w:r>
    </w:p>
    <w:p>
      <w:r>
        <w:t xml:space="preserve">CONCLUSION: The state's regulation likely constitutes a regulatory taking requiring just compensation under the Fifth Amendment, as it has rendered the family's property valueless by prohibiting all economically viable use.</w:t>
      </w:r>
    </w:p>
    <w:p>
      <w:pPr>
        <w:pStyle w:val="Heading1"/>
      </w:pPr>
      <w:r>
        <w:t xml:space="preserve">Element checklist</w:t>
      </w:r>
    </w:p>
    <w:p>
      <w:pPr>
        <w:pStyle w:val="ListParagraph"/>
        <w:numPr>
          <w:ilvl w:val="0"/>
          <w:numId w:val="1"/>
        </w:numPr>
      </w:pPr>
      <w:r>
        <w:t xml:space="preserve">Ownership of the property — met (The family owns the beachfront lots.)</w:t>
      </w:r>
    </w:p>
    <w:p>
      <w:pPr>
        <w:pStyle w:val="ListParagraph"/>
        <w:numPr>
          <w:ilvl w:val="0"/>
          <w:numId w:val="1"/>
        </w:numPr>
      </w:pPr>
      <w:r>
        <w:t xml:space="preserve">Regulation that deprives the property of all economically viable use — met (The regulation bars any permanent habitable structure, and appraisals indicate the lots have no economically viable use.)</w:t>
      </w:r>
    </w:p>
    <w:p>
      <w:pPr>
        <w:pStyle w:val="ListParagraph"/>
        <w:numPr>
          <w:ilvl w:val="0"/>
          <w:numId w:val="1"/>
        </w:numPr>
      </w:pPr>
      <w:r>
        <w:t xml:space="preserve">Just compensation required — unknown (The specific amount of just compensation requested is unknown.)</w:t>
      </w:r>
    </w:p>
    <w:p>
      <w:pPr>
        <w:pStyle w:val="Heading1"/>
      </w:pPr>
      <w:r>
        <w:t xml:space="preserve">Draft</w:t>
      </w:r>
    </w:p>
    <w:p>
      <w:r>
        <w:rPr>
          <w:b/>
          <w:bCs/>
        </w:rPr>
        <w:t xml:space="preserve">[RECORD] </w:t>
      </w:r>
      <w:r>
        <w:t xml:space="preserve">A family owns beachfront lots purchased for $500,000 as an investment.</w:t>
      </w:r>
    </w:p>
    <w:p>
      <w:r>
        <w:rPr>
          <w:b/>
          <w:bCs/>
        </w:rPr>
        <w:t xml:space="preserve">[RECORD] </w:t>
      </w:r>
      <w:r>
        <w:t xml:space="preserve">A new state coastal regulation bars any permanent habitable structure on the lots to prevent erosion.</w:t>
      </w:r>
    </w:p>
    <w:p>
      <w:r>
        <w:rPr>
          <w:b/>
          <w:bCs/>
        </w:rPr>
        <w:t xml:space="preserve">[RECORD] </w:t>
      </w:r>
      <w:r>
        <w:t xml:space="preserve">Appraisals indicate the lots have no economically viable use with a resale value of approximately $5,000 as unbuildable.</w:t>
      </w:r>
    </w:p>
    <w:p>
      <w:r>
        <w:rPr>
          <w:b/>
          <w:bCs/>
        </w:rPr>
        <w:t xml:space="preserve">[LAW] </w:t>
      </w:r>
      <w:r>
        <w:t xml:space="preserve">A regulation that categorically prohibits all economically beneficial use of land may constitute a compensable taking. (505 U.S. 1003, 1019)</w:t>
      </w:r>
      <w:r>
        <w:t xml:space="preserve"> (505 U.S. 1003, 1019)</w:t>
      </w:r>
    </w:p>
    <w:p>
      <w:r>
        <w:rPr>
          <w:b/>
          <w:bCs/>
        </w:rPr>
        <w:t xml:space="preserve">[INFERRED] </w:t>
      </w:r>
      <w:r>
        <w:rPr>
          <w:i/>
          <w:iCs/>
        </w:rPr>
        <w:t xml:space="preserve">The regulation here similarly deprives the family of all economically viable use of their land, as the lots cannot be developed for residential or commercial purposes due to the regulation.</w:t>
      </w:r>
    </w:p>
    <w:p>
      <w:r>
        <w:rPr>
          <w:b/>
          <w:bCs/>
        </w:rPr>
        <w:t xml:space="preserve">[LAW] </w:t>
      </w:r>
      <w:r>
        <w:t xml:space="preserve">The opposing party would argue that the state's coastal regulation does not constitute a regulatory taking because it does not completely eliminate all economically viable use of the property, and the family has not sought a variance or permit that might allow for alternative uses.</w:t>
      </w:r>
      <w:r>
        <w:t xml:space="preserve"> (505 U.S. 1003, 1019)</w:t>
      </w:r>
    </w:p>
    <w:p>
      <w:r>
        <w:rPr>
          <w:b/>
          <w:bCs/>
        </w:rPr>
        <w:t xml:space="preserve">[LAW] </w:t>
      </w:r>
      <w:r>
        <w:t xml:space="preserve">This argument is supported by cases such as Tahoe-Sierra Preservation Council, Inc. v. Tahoe Regional Planning Agency, where the Court emphasized that temporary moratoria do not necessarily constitute a taking, and Mayhew v. Town of Sunnyvale, which clarified that a taking occurs only when all economic value is destroyed.</w:t>
      </w:r>
      <w:r>
        <w:t xml:space="preserve"> (535 U.S. 302, 333)</w:t>
      </w:r>
    </w:p>
    <w:p>
      <w:r>
        <w:rPr>
          <w:b/>
          <w:bCs/>
        </w:rPr>
        <w:t xml:space="preserve">[LAW] </w:t>
      </w:r>
      <w:r>
        <w:t xml:space="preserve">The regulation in question may allow for non-habitable structures or other uses that preserve some economic value, and the family's failure to seek a variance or permit may further weaken their claim.</w:t>
      </w:r>
      <w:r>
        <w:t xml:space="preserve"> (505 U.S. 1003, 1019)</w:t>
      </w:r>
    </w:p>
    <w:p>
      <w:pPr>
        <w:pStyle w:val="Heading1"/>
      </w:pPr>
      <w:r>
        <w:t xml:space="preserve">Counter-argument</w:t>
      </w:r>
    </w:p>
    <w:p>
      <w:r>
        <w:t xml:space="preserve">The opposing party would argue that the state's coastal regulation does not constitute a regulatory taking because it does not completely eliminate all economically viable use of the property, and the family has not sought a variance or permit that might allow for alternative uses. This argument is supported by cases such as Tahoe-Sierra Preservation Council, Inc. v. Tahoe Regional Planning Agency, where the Court emphasized that temporary moratoria do not necessarily constitute a taking, and Mayhew v. Town of Sunnyvale, which clarified that a taking occurs only when all economic value is destroyed. [LAW] The regulation in question may allow for non-habitable structures or other uses that preserve some economic value, and the family's failure to seek a variance or permit may further weaken their claim. (505 U.S. 1003, 1019).</w:t>
      </w:r>
    </w:p>
    <w:p>
      <w:pPr>
        <w:pStyle w:val="ListParagraph"/>
        <w:numPr>
          <w:ilvl w:val="0"/>
          <w:numId w:val="1"/>
        </w:numPr>
      </w:pPr>
      <w:r>
        <w:t xml:space="preserve">Treatment caveat (inferred): 505 U.S. 1003 is inferred-overruled by 535 U.S. 302 (2002) in part, as Tahoe-Sierra Preservation Council, Inc. v. Tahoe Regional Planning Agency clarified that temporary moratoria do not necessarily constitute a taking.</w:t>
      </w:r>
    </w:p>
    <w:p>
      <w:pPr>
        <w:pStyle w:val="Heading1"/>
      </w:pPr>
      <w:r>
        <w:t xml:space="preserve">Authority appendix</w:t>
      </w:r>
    </w:p>
    <w:p>
      <w:pPr>
        <w:pStyle w:val="ListParagraph"/>
        <w:numPr>
          <w:ilvl w:val="0"/>
          <w:numId w:val="1"/>
        </w:numPr>
      </w:pPr>
      <w:r>
        <w:t xml:space="preserve">505 U.S. 1003 (Lucas v. South Carolina Coastal Council) [inferred treatment: overruled, distinguished, but_see]</w:t>
      </w:r>
    </w:p>
    <w:p>
      <w:pPr>
        <w:pStyle w:val="ListParagraph"/>
        <w:numPr>
          <w:ilvl w:val="0"/>
          <w:numId w:val="1"/>
        </w:numPr>
      </w:pPr>
      <w:r>
        <w:t xml:space="preserve">535 U.S. 302 (Tahoe-Sierra Preservation Council, Inc. v. Tahoe Regional Planning Agency) [inferred treatment: overruled, abrogated, distinguished, but_see]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2026-09-03T15:45:06.699Z</dcterms:created>
  <dcterms:modified xsi:type="dcterms:W3CDTF">2026-09-03T15:45:06.699Z</dcterms:modified>
</cp:coreProperties>
</file>

<file path=docProps/custom.xml><?xml version="1.0" encoding="utf-8"?>
<Properties xmlns="http://schemas.openxmlformats.org/officeDocument/2006/custom-properties" xmlns:vt="http://schemas.openxmlformats.org/officeDocument/2006/docPropsVTypes"/>
</file>