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BC41D" w14:textId="77777777" w:rsidR="008663D4" w:rsidRPr="003A3EF6" w:rsidRDefault="008663D4" w:rsidP="008663D4">
      <w:pPr>
        <w:keepNext/>
        <w:rPr>
          <w:sz w:val="22"/>
          <w:szCs w:val="22"/>
        </w:rPr>
      </w:pPr>
      <w:r>
        <w:rPr>
          <w:noProof/>
          <w:color w:val="FF0000"/>
          <w:sz w:val="22"/>
          <w:szCs w:val="22"/>
        </w:rPr>
        <w:drawing>
          <wp:inline distT="0" distB="0" distL="0" distR="0" wp14:anchorId="45187B9F" wp14:editId="574B4F6A">
            <wp:extent cx="5731510" cy="4889500"/>
            <wp:effectExtent l="0" t="0" r="0" b="0"/>
            <wp:docPr id="2016788145"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88145" name="Picture 3" descr="A screenshot of a computer scree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4889500"/>
                    </a:xfrm>
                    <a:prstGeom prst="rect">
                      <a:avLst/>
                    </a:prstGeom>
                  </pic:spPr>
                </pic:pic>
              </a:graphicData>
            </a:graphic>
          </wp:inline>
        </w:drawing>
      </w:r>
    </w:p>
    <w:p w14:paraId="796F7CED" w14:textId="77777777" w:rsidR="008663D4" w:rsidRPr="00851B86" w:rsidRDefault="008663D4" w:rsidP="008663D4">
      <w:pPr>
        <w:pStyle w:val="Caption"/>
        <w:rPr>
          <w:i w:val="0"/>
          <w:iCs w:val="0"/>
          <w:color w:val="FF0000"/>
        </w:rPr>
      </w:pPr>
      <w:r w:rsidRPr="00851B86">
        <w:t>Figure R</w:t>
      </w:r>
      <w:r w:rsidRPr="00851B86">
        <w:fldChar w:fldCharType="begin"/>
      </w:r>
      <w:r w:rsidRPr="00851B86">
        <w:instrText xml:space="preserve"> SEQ Figure \* ARABIC </w:instrText>
      </w:r>
      <w:r w:rsidRPr="00851B86">
        <w:fldChar w:fldCharType="separate"/>
      </w:r>
      <w:r>
        <w:rPr>
          <w:noProof/>
        </w:rPr>
        <w:t>1</w:t>
      </w:r>
      <w:r w:rsidRPr="00851B86">
        <w:rPr>
          <w:noProof/>
        </w:rPr>
        <w:fldChar w:fldCharType="end"/>
      </w:r>
      <w:r w:rsidRPr="00851B86">
        <w:t xml:space="preserve">. </w:t>
      </w:r>
      <w:r w:rsidRPr="00851B86">
        <w:rPr>
          <w:b/>
          <w:bCs/>
        </w:rPr>
        <w:t xml:space="preserve">Marginal posterior parameter estimates across different importation rate </w:t>
      </w:r>
      <m:oMath>
        <m:r>
          <m:rPr>
            <m:sty m:val="bi"/>
          </m:rPr>
          <w:rPr>
            <w:rFonts w:ascii="Cambria Math" w:hAnsi="Cambria Math"/>
          </w:rPr>
          <m:t>γ</m:t>
        </m:r>
      </m:oMath>
      <w:r w:rsidRPr="00851B86">
        <w:rPr>
          <w:b/>
          <w:bCs/>
        </w:rPr>
        <w:t xml:space="preserve"> levels. </w:t>
      </w:r>
      <w:r w:rsidRPr="00851B86">
        <w:rPr>
          <w:i w:val="0"/>
          <w:iCs w:val="0"/>
        </w:rPr>
        <w:t xml:space="preserve">In both </w:t>
      </w:r>
      <w:r w:rsidRPr="00851B86">
        <w:rPr>
          <w:b/>
          <w:bCs/>
          <w:i w:val="0"/>
          <w:iCs w:val="0"/>
        </w:rPr>
        <w:t xml:space="preserve">A) </w:t>
      </w:r>
      <w:r w:rsidRPr="00851B86">
        <w:rPr>
          <w:i w:val="0"/>
          <w:iCs w:val="0"/>
        </w:rPr>
        <w:t xml:space="preserve">and </w:t>
      </w:r>
      <w:r w:rsidRPr="00851B86">
        <w:rPr>
          <w:b/>
          <w:bCs/>
          <w:i w:val="0"/>
          <w:iCs w:val="0"/>
        </w:rPr>
        <w:t xml:space="preserve">B) </w:t>
      </w:r>
      <w:r w:rsidRPr="00851B86">
        <w:rPr>
          <w:i w:val="0"/>
          <w:iCs w:val="0"/>
        </w:rPr>
        <w:t xml:space="preserve">the estimated mean and 95% CI are shown with dots and error bars around the mean. The importation rate is shown on the y-axis and is also color-coded with shades of green. Darker colors present higher values of </w:t>
      </w:r>
      <m:oMath>
        <m:r>
          <w:rPr>
            <w:rFonts w:ascii="Cambria Math" w:hAnsi="Cambria Math"/>
          </w:rPr>
          <m:t>γ</m:t>
        </m:r>
      </m:oMath>
      <w:r w:rsidRPr="00851B86">
        <w:rPr>
          <w:i w:val="0"/>
          <w:iCs w:val="0"/>
        </w:rPr>
        <w:t xml:space="preserve"> while lighter colors have lower values as indicated in the legend. In all plots, the dashed lines show the previous parameter range introduced in the main text, the High</w:t>
      </w:r>
      <w:r>
        <w:rPr>
          <w:i w:val="0"/>
          <w:iCs w:val="0"/>
        </w:rPr>
        <w:t>est</w:t>
      </w:r>
      <w:r w:rsidRPr="00851B86">
        <w:rPr>
          <w:i w:val="0"/>
          <w:iCs w:val="0"/>
        </w:rPr>
        <w:t xml:space="preserve"> and Low</w:t>
      </w:r>
      <w:r>
        <w:rPr>
          <w:i w:val="0"/>
          <w:iCs w:val="0"/>
        </w:rPr>
        <w:t>est</w:t>
      </w:r>
      <w:r w:rsidRPr="00851B86">
        <w:rPr>
          <w:i w:val="0"/>
          <w:iCs w:val="0"/>
        </w:rPr>
        <w:t xml:space="preserve"> values found in the literature review presented in the Supplementary Material </w:t>
      </w:r>
      <w:r w:rsidRPr="00851B86">
        <w:rPr>
          <w:b/>
          <w:bCs/>
          <w:i w:val="0"/>
          <w:iCs w:val="0"/>
        </w:rPr>
        <w:t>Prevalence estimates</w:t>
      </w:r>
      <w:r w:rsidRPr="00851B86">
        <w:rPr>
          <w:i w:val="0"/>
          <w:iCs w:val="0"/>
        </w:rPr>
        <w:t>. Bacterial pathogens are sorted from upper to lower proportional to the reported abundance and match the order presented in SM Figure S13.</w:t>
      </w:r>
    </w:p>
    <w:p w14:paraId="07091756" w14:textId="77777777" w:rsidR="008663D4" w:rsidRDefault="008663D4"/>
    <w:p w14:paraId="32AAF9AE" w14:textId="77777777" w:rsidR="008663D4" w:rsidRPr="003A3EF6" w:rsidRDefault="008663D4" w:rsidP="008663D4">
      <w:pPr>
        <w:keepNext/>
        <w:rPr>
          <w:sz w:val="22"/>
          <w:szCs w:val="22"/>
        </w:rPr>
      </w:pPr>
      <w:r w:rsidRPr="00851B86">
        <w:rPr>
          <w:noProof/>
          <w:sz w:val="22"/>
          <w:szCs w:val="22"/>
        </w:rPr>
        <w:lastRenderedPageBreak/>
        <w:drawing>
          <wp:inline distT="0" distB="0" distL="0" distR="0" wp14:anchorId="09989135" wp14:editId="3D0752EE">
            <wp:extent cx="5731510" cy="5889625"/>
            <wp:effectExtent l="0" t="0" r="0" b="0"/>
            <wp:docPr id="19518207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20722" name="Picture 1" descr="A screenshot of a graph&#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5889625"/>
                    </a:xfrm>
                    <a:prstGeom prst="rect">
                      <a:avLst/>
                    </a:prstGeom>
                  </pic:spPr>
                </pic:pic>
              </a:graphicData>
            </a:graphic>
          </wp:inline>
        </w:drawing>
      </w:r>
    </w:p>
    <w:p w14:paraId="643969B1" w14:textId="77777777" w:rsidR="008663D4" w:rsidRPr="00851B86" w:rsidRDefault="008663D4" w:rsidP="008663D4">
      <w:pPr>
        <w:pStyle w:val="Caption"/>
      </w:pPr>
      <w:r w:rsidRPr="00851B86">
        <w:t>Figure R</w:t>
      </w:r>
      <w:r w:rsidRPr="00851B86">
        <w:fldChar w:fldCharType="begin"/>
      </w:r>
      <w:r w:rsidRPr="00851B86">
        <w:instrText xml:space="preserve"> SEQ Figure \* ARABIC </w:instrText>
      </w:r>
      <w:r w:rsidRPr="00851B86">
        <w:fldChar w:fldCharType="separate"/>
      </w:r>
      <w:r>
        <w:rPr>
          <w:noProof/>
        </w:rPr>
        <w:t>2</w:t>
      </w:r>
      <w:r w:rsidRPr="00851B86">
        <w:rPr>
          <w:noProof/>
        </w:rPr>
        <w:fldChar w:fldCharType="end"/>
      </w:r>
      <w:r w:rsidRPr="00851B86">
        <w:t xml:space="preserve">. </w:t>
      </w:r>
      <w:r w:rsidRPr="00851B86">
        <w:rPr>
          <w:b/>
          <w:bCs/>
        </w:rPr>
        <w:t xml:space="preserve">Relationship between the parameter estimates and the importation rate γ. </w:t>
      </w:r>
      <w:r>
        <w:rPr>
          <w:i w:val="0"/>
          <w:iCs w:val="0"/>
        </w:rPr>
        <w:t xml:space="preserve">Marginal parameter estimates </w:t>
      </w:r>
      <w:r w:rsidRPr="00851B86">
        <w:rPr>
          <w:b/>
          <w:bCs/>
        </w:rPr>
        <w:t>A</w:t>
      </w:r>
      <w:r w:rsidRPr="00851B86">
        <w:t xml:space="preserve">) </w:t>
      </w:r>
      <w:r>
        <w:t xml:space="preserve">the </w:t>
      </w:r>
      <w:r w:rsidRPr="00851B86">
        <w:t>nosocomial transmission rate β and</w:t>
      </w:r>
      <w:r>
        <w:t xml:space="preserve"> te</w:t>
      </w:r>
      <w:r w:rsidRPr="00851B86">
        <w:t xml:space="preserve"> </w:t>
      </w:r>
      <w:r w:rsidRPr="00851B86">
        <w:rPr>
          <w:b/>
          <w:bCs/>
        </w:rPr>
        <w:t>B)</w:t>
      </w:r>
      <w:r w:rsidRPr="00851B86">
        <w:t xml:space="preserve"> </w:t>
      </w:r>
      <w:r>
        <w:t xml:space="preserve">the </w:t>
      </w:r>
      <w:r w:rsidRPr="00851B86">
        <w:t>effective sensitivity ρ.</w:t>
      </w:r>
      <w:r w:rsidRPr="00851B86">
        <w:rPr>
          <w:b/>
          <w:bCs/>
        </w:rPr>
        <w:t xml:space="preserve"> </w:t>
      </w:r>
      <w:r w:rsidRPr="00851B86">
        <w:rPr>
          <w:i w:val="0"/>
          <w:iCs w:val="0"/>
        </w:rPr>
        <w:t xml:space="preserve">In each subplot, we present the mean parameter estimate and the 95% CI using error bars. We used the same color scheme introduced in Figure R1, darker colors indicate a higher importation rate while lighter colors a lower one. The size of the dots corresponds to the effective sensitivity (Figure R3). A linear regression is shown as a dashed black line and the coefficient of determination </w:t>
      </w:r>
      <m:oMath>
        <m:sSup>
          <m:sSupPr>
            <m:ctrlPr>
              <w:rPr>
                <w:rFonts w:ascii="Cambria Math" w:hAnsi="Cambria Math"/>
                <w:iCs w:val="0"/>
              </w:rPr>
            </m:ctrlPr>
          </m:sSupPr>
          <m:e>
            <m:r>
              <w:rPr>
                <w:rFonts w:ascii="Cambria Math" w:hAnsi="Cambria Math"/>
              </w:rPr>
              <m:t>r</m:t>
            </m:r>
          </m:e>
          <m:sup>
            <m:r>
              <w:rPr>
                <w:rFonts w:ascii="Cambria Math" w:hAnsi="Cambria Math"/>
              </w:rPr>
              <m:t>2</m:t>
            </m:r>
          </m:sup>
        </m:sSup>
      </m:oMath>
      <w:r w:rsidRPr="00851B86">
        <w:rPr>
          <w:i w:val="0"/>
          <w:iCs w:val="0"/>
        </w:rPr>
        <w:t xml:space="preserve"> is presented inside each subplot red. The bacterial pathogens are sorted from left to right and upper to lower plots according to their reported abundance.</w:t>
      </w:r>
    </w:p>
    <w:p w14:paraId="54A4762E" w14:textId="77777777" w:rsidR="008663D4" w:rsidRPr="00851B86" w:rsidRDefault="008663D4" w:rsidP="008663D4">
      <w:pPr>
        <w:keepNext/>
        <w:rPr>
          <w:sz w:val="22"/>
          <w:szCs w:val="22"/>
        </w:rPr>
      </w:pPr>
      <w:r>
        <w:rPr>
          <w:noProof/>
          <w:sz w:val="22"/>
          <w:szCs w:val="22"/>
        </w:rPr>
        <w:lastRenderedPageBreak/>
        <w:drawing>
          <wp:inline distT="0" distB="0" distL="0" distR="0" wp14:anchorId="4B085027" wp14:editId="18F7B81F">
            <wp:extent cx="5731510" cy="6002655"/>
            <wp:effectExtent l="0" t="0" r="0" b="0"/>
            <wp:docPr id="100215908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59080" name="Picture 2" descr="A screenshot of a graph&#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6002655"/>
                    </a:xfrm>
                    <a:prstGeom prst="rect">
                      <a:avLst/>
                    </a:prstGeom>
                  </pic:spPr>
                </pic:pic>
              </a:graphicData>
            </a:graphic>
          </wp:inline>
        </w:drawing>
      </w:r>
    </w:p>
    <w:p w14:paraId="4456A518" w14:textId="2813C2F4" w:rsidR="008663D4" w:rsidRPr="00C65252" w:rsidRDefault="008663D4" w:rsidP="008663D4">
      <w:pPr>
        <w:keepNext/>
        <w:rPr>
          <w:sz w:val="18"/>
          <w:szCs w:val="18"/>
        </w:rPr>
      </w:pPr>
      <w:r w:rsidRPr="00C65252">
        <w:rPr>
          <w:i/>
          <w:iCs/>
          <w:color w:val="0E2841" w:themeColor="text2"/>
          <w:sz w:val="18"/>
          <w:szCs w:val="18"/>
        </w:rPr>
        <w:t>Figure R3</w:t>
      </w:r>
      <w:r w:rsidRPr="00C65252">
        <w:rPr>
          <w:b/>
          <w:bCs/>
          <w:i/>
          <w:iCs/>
          <w:color w:val="0E2841" w:themeColor="text2"/>
          <w:sz w:val="18"/>
          <w:szCs w:val="18"/>
        </w:rPr>
        <w:t>.</w:t>
      </w:r>
      <w:r w:rsidRPr="00C65252">
        <w:rPr>
          <w:b/>
          <w:bCs/>
          <w:color w:val="0E2841" w:themeColor="text2"/>
          <w:sz w:val="18"/>
          <w:szCs w:val="18"/>
        </w:rPr>
        <w:t xml:space="preserve">  Identifiability, parameter estimates on simulated data. </w:t>
      </w:r>
      <w:r w:rsidRPr="00C65252">
        <w:rPr>
          <w:color w:val="0E2841" w:themeColor="text2"/>
          <w:sz w:val="18"/>
          <w:szCs w:val="18"/>
        </w:rPr>
        <w:t>Each figure present</w:t>
      </w:r>
      <w:r w:rsidR="003D1177">
        <w:rPr>
          <w:color w:val="0E2841" w:themeColor="text2"/>
          <w:sz w:val="18"/>
          <w:szCs w:val="18"/>
        </w:rPr>
        <w:t>s</w:t>
      </w:r>
      <w:r w:rsidRPr="00C65252">
        <w:rPr>
          <w:color w:val="0E2841" w:themeColor="text2"/>
          <w:sz w:val="18"/>
          <w:szCs w:val="18"/>
        </w:rPr>
        <w:t xml:space="preserve"> the joint parameter estimates for a</w:t>
      </w:r>
      <w:r w:rsidR="003D1177">
        <w:rPr>
          <w:color w:val="0E2841" w:themeColor="text2"/>
          <w:sz w:val="18"/>
          <w:szCs w:val="18"/>
        </w:rPr>
        <w:t>n</w:t>
      </w:r>
      <w:r w:rsidRPr="00C65252">
        <w:rPr>
          <w:color w:val="0E2841" w:themeColor="text2"/>
          <w:sz w:val="18"/>
          <w:szCs w:val="18"/>
        </w:rPr>
        <w:t xml:space="preserve"> importation rate of </w:t>
      </w:r>
      <w:r w:rsidRPr="00C65252">
        <w:rPr>
          <w:b/>
          <w:bCs/>
          <w:color w:val="0E2841" w:themeColor="text2"/>
          <w:sz w:val="18"/>
          <w:szCs w:val="18"/>
        </w:rPr>
        <w:t>A)</w:t>
      </w:r>
      <w:r w:rsidRPr="00C65252">
        <w:rPr>
          <w:color w:val="0E2841" w:themeColor="text2"/>
          <w:sz w:val="18"/>
          <w:szCs w:val="18"/>
        </w:rPr>
        <w:t xml:space="preserve"> γ=5</w:t>
      </w:r>
      <w:r>
        <w:rPr>
          <w:color w:val="0E2841" w:themeColor="text2"/>
          <w:sz w:val="18"/>
          <w:szCs w:val="18"/>
        </w:rPr>
        <w:t>,</w:t>
      </w:r>
      <w:r w:rsidRPr="00C65252">
        <w:rPr>
          <w:color w:val="0E2841" w:themeColor="text2"/>
          <w:sz w:val="18"/>
          <w:szCs w:val="18"/>
        </w:rPr>
        <w:t xml:space="preserve"> </w:t>
      </w:r>
      <w:r w:rsidRPr="00C65252">
        <w:rPr>
          <w:b/>
          <w:bCs/>
          <w:color w:val="0E2841" w:themeColor="text2"/>
          <w:sz w:val="18"/>
          <w:szCs w:val="18"/>
        </w:rPr>
        <w:t>B)</w:t>
      </w:r>
      <w:r w:rsidRPr="00C65252">
        <w:rPr>
          <w:color w:val="0E2841" w:themeColor="text2"/>
          <w:sz w:val="18"/>
          <w:szCs w:val="18"/>
        </w:rPr>
        <w:t xml:space="preserve"> γ=10 and </w:t>
      </w:r>
      <w:r w:rsidRPr="00C65252">
        <w:rPr>
          <w:b/>
          <w:bCs/>
          <w:color w:val="0E2841" w:themeColor="text2"/>
          <w:sz w:val="18"/>
          <w:szCs w:val="18"/>
        </w:rPr>
        <w:t>C)</w:t>
      </w:r>
      <w:r w:rsidRPr="00C65252">
        <w:rPr>
          <w:color w:val="0E2841" w:themeColor="text2"/>
          <w:sz w:val="18"/>
          <w:szCs w:val="18"/>
        </w:rPr>
        <w:t xml:space="preserve"> γ=15%. The posterior estimate is highlighted with a density plot (darker means more probable). In each subplot the true value is highlighted in the title of each scenario and with a yellow cross at the intersection of the two black dashed lines. The x-axis shows the effective sensitivity ρ (%) and </w:t>
      </w:r>
      <w:r w:rsidRPr="00C65252">
        <w:rPr>
          <w:color w:val="0E2841" w:themeColor="text2"/>
          <w:sz w:val="18"/>
          <w:szCs w:val="18"/>
        </w:rPr>
        <w:lastRenderedPageBreak/>
        <w:t>the y-axis the nosocomial transmission rate β. Note that in all subplots the prior range is the limits of each axis, ρ increments from left to right and β from upper to lower plots.</w:t>
      </w:r>
    </w:p>
    <w:p w14:paraId="6BCB17BE" w14:textId="77777777" w:rsidR="008663D4" w:rsidRPr="003A3EF6" w:rsidRDefault="008663D4" w:rsidP="008663D4">
      <w:pPr>
        <w:keepNext/>
        <w:rPr>
          <w:sz w:val="22"/>
          <w:szCs w:val="22"/>
        </w:rPr>
      </w:pPr>
      <w:r w:rsidRPr="003A3EF6">
        <w:rPr>
          <w:noProof/>
          <w:sz w:val="22"/>
          <w:szCs w:val="22"/>
        </w:rPr>
        <w:drawing>
          <wp:inline distT="0" distB="0" distL="0" distR="0" wp14:anchorId="599B68B3" wp14:editId="3A0C80EE">
            <wp:extent cx="5731510" cy="3434080"/>
            <wp:effectExtent l="0" t="0" r="0" b="0"/>
            <wp:docPr id="1477082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82836"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34080"/>
                    </a:xfrm>
                    <a:prstGeom prst="rect">
                      <a:avLst/>
                    </a:prstGeom>
                  </pic:spPr>
                </pic:pic>
              </a:graphicData>
            </a:graphic>
          </wp:inline>
        </w:drawing>
      </w:r>
    </w:p>
    <w:p w14:paraId="695AC098" w14:textId="77777777" w:rsidR="008663D4" w:rsidRPr="00851B86" w:rsidRDefault="008663D4" w:rsidP="008663D4">
      <w:pPr>
        <w:pStyle w:val="Caption"/>
        <w:rPr>
          <w:i w:val="0"/>
          <w:iCs w:val="0"/>
        </w:rPr>
      </w:pPr>
      <w:r w:rsidRPr="00851B86">
        <w:t>Figure R</w:t>
      </w:r>
      <w:r>
        <w:t>4</w:t>
      </w:r>
      <w:r w:rsidRPr="00851B86">
        <w:t xml:space="preserve">. </w:t>
      </w:r>
      <w:r w:rsidRPr="00851B86">
        <w:rPr>
          <w:b/>
          <w:bCs/>
        </w:rPr>
        <w:t xml:space="preserve">Convergence plots of inferences for synthetic data with low </w:t>
      </w:r>
      <m:oMath>
        <m:r>
          <m:rPr>
            <m:sty m:val="bi"/>
          </m:rPr>
          <w:rPr>
            <w:rFonts w:ascii="Cambria Math" w:hAnsi="Cambria Math"/>
          </w:rPr>
          <m:t>ρ</m:t>
        </m:r>
      </m:oMath>
      <w:r w:rsidRPr="00851B86">
        <w:rPr>
          <w:b/>
          <w:bCs/>
        </w:rPr>
        <w:t xml:space="preserve"> and </w:t>
      </w:r>
      <m:oMath>
        <m:r>
          <m:rPr>
            <m:sty m:val="bi"/>
          </m:rPr>
          <w:rPr>
            <w:rFonts w:ascii="Cambria Math" w:hAnsi="Cambria Math"/>
          </w:rPr>
          <m:t>β</m:t>
        </m:r>
      </m:oMath>
      <w:r w:rsidRPr="00851B86">
        <w:rPr>
          <w:b/>
          <w:bCs/>
        </w:rPr>
        <w:t xml:space="preserve">. </w:t>
      </w:r>
      <w:r w:rsidRPr="00851B86">
        <w:rPr>
          <w:i w:val="0"/>
          <w:iCs w:val="0"/>
        </w:rPr>
        <w:t xml:space="preserve">Marginal posterior parameter estimates for importation rate </w:t>
      </w:r>
      <m:oMath>
        <m:r>
          <w:rPr>
            <w:rFonts w:ascii="Cambria Math" w:hAnsi="Cambria Math"/>
          </w:rPr>
          <m:t>γ</m:t>
        </m:r>
      </m:oMath>
      <w:r w:rsidRPr="00851B86">
        <w:rPr>
          <w:i w:val="0"/>
          <w:iCs w:val="0"/>
        </w:rPr>
        <w:t xml:space="preserve"> of </w:t>
      </w:r>
      <w:r w:rsidRPr="00851B86">
        <w:rPr>
          <w:b/>
          <w:bCs/>
          <w:i w:val="0"/>
          <w:iCs w:val="0"/>
        </w:rPr>
        <w:t xml:space="preserve">A) </w:t>
      </w:r>
      <w:r w:rsidRPr="00851B86">
        <w:rPr>
          <w:i w:val="0"/>
          <w:iCs w:val="0"/>
        </w:rPr>
        <w:t xml:space="preserve">5 </w:t>
      </w:r>
      <w:r w:rsidRPr="00851B86">
        <w:rPr>
          <w:b/>
          <w:bCs/>
          <w:i w:val="0"/>
          <w:iCs w:val="0"/>
        </w:rPr>
        <w:t xml:space="preserve">B) </w:t>
      </w:r>
      <w:r w:rsidRPr="00851B86">
        <w:rPr>
          <w:i w:val="0"/>
          <w:iCs w:val="0"/>
        </w:rPr>
        <w:t>10 and</w:t>
      </w:r>
      <w:r w:rsidRPr="00851B86">
        <w:rPr>
          <w:b/>
          <w:bCs/>
          <w:i w:val="0"/>
          <w:iCs w:val="0"/>
        </w:rPr>
        <w:t xml:space="preserve"> C) </w:t>
      </w:r>
      <w:r w:rsidRPr="00851B86">
        <w:rPr>
          <w:i w:val="0"/>
          <w:iCs w:val="0"/>
        </w:rPr>
        <w:t>15%.</w:t>
      </w:r>
      <w:r w:rsidRPr="00851B86">
        <w:rPr>
          <w:b/>
          <w:bCs/>
          <w:i w:val="0"/>
          <w:iCs w:val="0"/>
        </w:rPr>
        <w:t xml:space="preserve"> </w:t>
      </w:r>
      <w:r w:rsidRPr="00851B86">
        <w:rPr>
          <w:i w:val="0"/>
          <w:iCs w:val="0"/>
        </w:rPr>
        <w:t xml:space="preserve">In each panel the left subplots present the convergence for the effective sensitivity </w:t>
      </w:r>
      <m:oMath>
        <m:r>
          <w:rPr>
            <w:rFonts w:ascii="Cambria Math" w:hAnsi="Cambria Math"/>
          </w:rPr>
          <m:t>ρ</m:t>
        </m:r>
      </m:oMath>
      <w:r w:rsidRPr="00851B86">
        <w:rPr>
          <w:i w:val="0"/>
          <w:iCs w:val="0"/>
        </w:rPr>
        <w:t xml:space="preserve">, and the right subplots for the nosocomial transmission rate </w:t>
      </w:r>
      <m:oMath>
        <m:r>
          <w:rPr>
            <w:rFonts w:ascii="Cambria Math" w:hAnsi="Cambria Math"/>
          </w:rPr>
          <m:t>β</m:t>
        </m:r>
      </m:oMath>
      <w:r w:rsidRPr="00851B86">
        <w:rPr>
          <w:i w:val="0"/>
          <w:iCs w:val="0"/>
        </w:rPr>
        <w:t>. In each row of each panel the truth value is indicated in an inset text, the truths are also highlighted as dashed red lines in each subplot as indicated in the legend. The convergence of the marginal posterior distribution is presented for the mean (black line) and the 95 and 50% credible intervals as indicated in the legend.</w:t>
      </w:r>
    </w:p>
    <w:p w14:paraId="6DC3AAF9" w14:textId="77777777" w:rsidR="006757B8" w:rsidRDefault="006757B8" w:rsidP="006757B8">
      <w:pPr>
        <w:keepNext/>
      </w:pPr>
      <w:r>
        <w:rPr>
          <w:noProof/>
          <w:color w:val="000000" w:themeColor="text1"/>
          <w:sz w:val="22"/>
          <w:szCs w:val="22"/>
        </w:rPr>
        <w:lastRenderedPageBreak/>
        <w:drawing>
          <wp:inline distT="0" distB="0" distL="0" distR="0" wp14:anchorId="6DBA6BC7" wp14:editId="23C59998">
            <wp:extent cx="5731510" cy="7665720"/>
            <wp:effectExtent l="0" t="0" r="0" b="0"/>
            <wp:docPr id="13126892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89270" name="Picture 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665720"/>
                    </a:xfrm>
                    <a:prstGeom prst="rect">
                      <a:avLst/>
                    </a:prstGeom>
                  </pic:spPr>
                </pic:pic>
              </a:graphicData>
            </a:graphic>
          </wp:inline>
        </w:drawing>
      </w:r>
    </w:p>
    <w:p w14:paraId="77967017" w14:textId="74D0A07E" w:rsidR="002177FA" w:rsidRPr="00473620" w:rsidRDefault="006757B8" w:rsidP="00473620">
      <w:pPr>
        <w:pStyle w:val="Caption"/>
        <w:rPr>
          <w:i w:val="0"/>
          <w:iCs w:val="0"/>
          <w:color w:val="000000" w:themeColor="text1"/>
          <w:sz w:val="22"/>
          <w:szCs w:val="22"/>
        </w:rPr>
      </w:pPr>
      <w:r w:rsidRPr="00AC258D">
        <w:rPr>
          <w:i w:val="0"/>
          <w:iCs w:val="0"/>
        </w:rPr>
        <w:t xml:space="preserve">Figure R6. </w:t>
      </w:r>
      <w:r w:rsidR="00AC258D" w:rsidRPr="00AC258D">
        <w:rPr>
          <w:b/>
          <w:bCs/>
          <w:i w:val="0"/>
          <w:iCs w:val="0"/>
        </w:rPr>
        <w:t xml:space="preserve">Sensitivity analyses for the beginning of the time series, and the COVID-19 period. </w:t>
      </w:r>
      <w:r w:rsidR="00AC258D">
        <w:rPr>
          <w:i w:val="0"/>
          <w:iCs w:val="0"/>
        </w:rPr>
        <w:t>Mean and 95 % C</w:t>
      </w:r>
      <w:r w:rsidR="002177FA">
        <w:rPr>
          <w:i w:val="0"/>
          <w:iCs w:val="0"/>
        </w:rPr>
        <w:t xml:space="preserve">I </w:t>
      </w:r>
      <w:r w:rsidR="00AC258D">
        <w:rPr>
          <w:i w:val="0"/>
          <w:iCs w:val="0"/>
        </w:rPr>
        <w:t>marginal posterior are presented</w:t>
      </w:r>
      <w:r w:rsidR="00AE5DA8">
        <w:rPr>
          <w:i w:val="0"/>
          <w:iCs w:val="0"/>
        </w:rPr>
        <w:t xml:space="preserve"> as dots and bars respectively. We used t</w:t>
      </w:r>
      <w:r w:rsidR="00AC258D">
        <w:rPr>
          <w:i w:val="0"/>
          <w:iCs w:val="0"/>
        </w:rPr>
        <w:t xml:space="preserve">he 3 levels of the importation rate </w:t>
      </w:r>
      <m:oMath>
        <m:r>
          <w:rPr>
            <w:rFonts w:ascii="Cambria Math" w:hAnsi="Cambria Math"/>
          </w:rPr>
          <m:t>γ</m:t>
        </m:r>
      </m:oMath>
      <w:r w:rsidR="002177FA">
        <w:rPr>
          <w:i w:val="0"/>
          <w:iCs w:val="0"/>
        </w:rPr>
        <w:t xml:space="preserve"> found in the literature, the </w:t>
      </w:r>
      <w:r w:rsidR="002177FA">
        <w:rPr>
          <w:b/>
          <w:bCs/>
          <w:i w:val="0"/>
          <w:iCs w:val="0"/>
        </w:rPr>
        <w:t xml:space="preserve">A) </w:t>
      </w:r>
      <w:r w:rsidR="002177FA">
        <w:rPr>
          <w:i w:val="0"/>
          <w:iCs w:val="0"/>
        </w:rPr>
        <w:t xml:space="preserve">highest, </w:t>
      </w:r>
      <w:r w:rsidR="002177FA">
        <w:rPr>
          <w:b/>
          <w:bCs/>
          <w:i w:val="0"/>
          <w:iCs w:val="0"/>
        </w:rPr>
        <w:t xml:space="preserve">B) </w:t>
      </w:r>
      <w:r w:rsidR="002177FA">
        <w:rPr>
          <w:i w:val="0"/>
          <w:iCs w:val="0"/>
        </w:rPr>
        <w:t xml:space="preserve">median and </w:t>
      </w:r>
      <w:r w:rsidR="002177FA" w:rsidRPr="002177FA">
        <w:rPr>
          <w:b/>
          <w:bCs/>
          <w:i w:val="0"/>
          <w:iCs w:val="0"/>
        </w:rPr>
        <w:t>C)</w:t>
      </w:r>
      <w:r w:rsidR="002177FA">
        <w:rPr>
          <w:i w:val="0"/>
          <w:iCs w:val="0"/>
        </w:rPr>
        <w:t xml:space="preserve"> lowest</w:t>
      </w:r>
      <w:r w:rsidR="00AE5DA8">
        <w:rPr>
          <w:i w:val="0"/>
          <w:iCs w:val="0"/>
        </w:rPr>
        <w:t xml:space="preserve"> as</w:t>
      </w:r>
      <w:r w:rsidR="002177FA">
        <w:rPr>
          <w:i w:val="0"/>
          <w:iCs w:val="0"/>
        </w:rPr>
        <w:t xml:space="preserve"> presented in the SM section </w:t>
      </w:r>
      <w:r w:rsidR="002177FA">
        <w:rPr>
          <w:b/>
          <w:bCs/>
          <w:i w:val="0"/>
          <w:iCs w:val="0"/>
        </w:rPr>
        <w:t>Prevalence estimates.</w:t>
      </w:r>
      <w:r w:rsidR="00AE5DA8">
        <w:rPr>
          <w:b/>
          <w:bCs/>
          <w:i w:val="0"/>
          <w:iCs w:val="0"/>
        </w:rPr>
        <w:t xml:space="preserve"> </w:t>
      </w:r>
      <w:r w:rsidR="00AE5DA8">
        <w:rPr>
          <w:i w:val="0"/>
          <w:iCs w:val="0"/>
        </w:rPr>
        <w:t>To facilitate comparison with the original estimate (inferences with all the series)</w:t>
      </w:r>
      <w:r w:rsidR="00540673">
        <w:rPr>
          <w:i w:val="0"/>
          <w:iCs w:val="0"/>
        </w:rPr>
        <w:t xml:space="preserve"> </w:t>
      </w:r>
      <w:r w:rsidR="00540673" w:rsidRPr="00F83A2C">
        <w:rPr>
          <w:i w:val="0"/>
          <w:iCs w:val="0"/>
        </w:rPr>
        <w:t>we highlight the mean and the 95% CI of this inference with continuous and dashed lines respectively.</w:t>
      </w:r>
      <w:r w:rsidR="00013CEB">
        <w:rPr>
          <w:i w:val="0"/>
          <w:iCs w:val="0"/>
        </w:rPr>
        <w:t xml:space="preserve"> From left to right we present each pathogen, and they're sorted according to their reported abundance.</w:t>
      </w:r>
    </w:p>
    <w:sectPr w:rsidR="002177FA" w:rsidRPr="004736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3D4"/>
    <w:rsid w:val="00013CEB"/>
    <w:rsid w:val="002177FA"/>
    <w:rsid w:val="003D1177"/>
    <w:rsid w:val="00473620"/>
    <w:rsid w:val="00540673"/>
    <w:rsid w:val="006757B8"/>
    <w:rsid w:val="008663D4"/>
    <w:rsid w:val="008E1EB3"/>
    <w:rsid w:val="00AC258D"/>
    <w:rsid w:val="00AE5DA8"/>
    <w:rsid w:val="00F83A2C"/>
    <w:rsid w:val="00FB2E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BCDC5"/>
  <w15:chartTrackingRefBased/>
  <w15:docId w15:val="{3884AC47-EF6C-A241-8851-49ED13E0E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3D4"/>
    <w:rPr>
      <w:rFonts w:eastAsia="SimSun"/>
    </w:rPr>
  </w:style>
  <w:style w:type="paragraph" w:styleId="Heading1">
    <w:name w:val="heading 1"/>
    <w:basedOn w:val="Normal"/>
    <w:next w:val="Normal"/>
    <w:link w:val="Heading1Char"/>
    <w:uiPriority w:val="9"/>
    <w:qFormat/>
    <w:rsid w:val="008663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63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63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63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63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63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63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63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63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3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63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63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63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63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63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63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63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63D4"/>
    <w:rPr>
      <w:rFonts w:eastAsiaTheme="majorEastAsia" w:cstheme="majorBidi"/>
      <w:color w:val="272727" w:themeColor="text1" w:themeTint="D8"/>
    </w:rPr>
  </w:style>
  <w:style w:type="paragraph" w:styleId="Title">
    <w:name w:val="Title"/>
    <w:basedOn w:val="Normal"/>
    <w:next w:val="Normal"/>
    <w:link w:val="TitleChar"/>
    <w:uiPriority w:val="10"/>
    <w:qFormat/>
    <w:rsid w:val="008663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3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63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63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63D4"/>
    <w:pPr>
      <w:spacing w:before="160"/>
      <w:jc w:val="center"/>
    </w:pPr>
    <w:rPr>
      <w:rFonts w:eastAsiaTheme="minorHAnsi"/>
      <w:i/>
      <w:iCs/>
      <w:color w:val="404040" w:themeColor="text1" w:themeTint="BF"/>
    </w:rPr>
  </w:style>
  <w:style w:type="character" w:customStyle="1" w:styleId="QuoteChar">
    <w:name w:val="Quote Char"/>
    <w:basedOn w:val="DefaultParagraphFont"/>
    <w:link w:val="Quote"/>
    <w:uiPriority w:val="29"/>
    <w:rsid w:val="008663D4"/>
    <w:rPr>
      <w:i/>
      <w:iCs/>
      <w:color w:val="404040" w:themeColor="text1" w:themeTint="BF"/>
    </w:rPr>
  </w:style>
  <w:style w:type="paragraph" w:styleId="ListParagraph">
    <w:name w:val="List Paragraph"/>
    <w:basedOn w:val="Normal"/>
    <w:uiPriority w:val="34"/>
    <w:qFormat/>
    <w:rsid w:val="008663D4"/>
    <w:pPr>
      <w:ind w:left="720"/>
      <w:contextualSpacing/>
    </w:pPr>
    <w:rPr>
      <w:rFonts w:eastAsiaTheme="minorHAnsi"/>
    </w:rPr>
  </w:style>
  <w:style w:type="character" w:styleId="IntenseEmphasis">
    <w:name w:val="Intense Emphasis"/>
    <w:basedOn w:val="DefaultParagraphFont"/>
    <w:uiPriority w:val="21"/>
    <w:qFormat/>
    <w:rsid w:val="008663D4"/>
    <w:rPr>
      <w:i/>
      <w:iCs/>
      <w:color w:val="0F4761" w:themeColor="accent1" w:themeShade="BF"/>
    </w:rPr>
  </w:style>
  <w:style w:type="paragraph" w:styleId="IntenseQuote">
    <w:name w:val="Intense Quote"/>
    <w:basedOn w:val="Normal"/>
    <w:next w:val="Normal"/>
    <w:link w:val="IntenseQuoteChar"/>
    <w:uiPriority w:val="30"/>
    <w:qFormat/>
    <w:rsid w:val="008663D4"/>
    <w:pPr>
      <w:pBdr>
        <w:top w:val="single" w:sz="4" w:space="10" w:color="0F4761" w:themeColor="accent1" w:themeShade="BF"/>
        <w:bottom w:val="single" w:sz="4" w:space="10" w:color="0F4761" w:themeColor="accent1" w:themeShade="BF"/>
      </w:pBdr>
      <w:spacing w:before="360" w:after="360"/>
      <w:ind w:left="864" w:right="864"/>
      <w:jc w:val="center"/>
    </w:pPr>
    <w:rPr>
      <w:rFonts w:eastAsiaTheme="minorHAnsi"/>
      <w:i/>
      <w:iCs/>
      <w:color w:val="0F4761" w:themeColor="accent1" w:themeShade="BF"/>
    </w:rPr>
  </w:style>
  <w:style w:type="character" w:customStyle="1" w:styleId="IntenseQuoteChar">
    <w:name w:val="Intense Quote Char"/>
    <w:basedOn w:val="DefaultParagraphFont"/>
    <w:link w:val="IntenseQuote"/>
    <w:uiPriority w:val="30"/>
    <w:rsid w:val="008663D4"/>
    <w:rPr>
      <w:i/>
      <w:iCs/>
      <w:color w:val="0F4761" w:themeColor="accent1" w:themeShade="BF"/>
    </w:rPr>
  </w:style>
  <w:style w:type="character" w:styleId="IntenseReference">
    <w:name w:val="Intense Reference"/>
    <w:basedOn w:val="DefaultParagraphFont"/>
    <w:uiPriority w:val="32"/>
    <w:qFormat/>
    <w:rsid w:val="008663D4"/>
    <w:rPr>
      <w:b/>
      <w:bCs/>
      <w:smallCaps/>
      <w:color w:val="0F4761" w:themeColor="accent1" w:themeShade="BF"/>
      <w:spacing w:val="5"/>
    </w:rPr>
  </w:style>
  <w:style w:type="paragraph" w:styleId="Caption">
    <w:name w:val="caption"/>
    <w:basedOn w:val="Normal"/>
    <w:next w:val="Normal"/>
    <w:uiPriority w:val="35"/>
    <w:unhideWhenUsed/>
    <w:qFormat/>
    <w:rsid w:val="008663D4"/>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2177F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520</Words>
  <Characters>2970</Characters>
  <Application>Microsoft Office Word</Application>
  <DocSecurity>0</DocSecurity>
  <Lines>24</Lines>
  <Paragraphs>6</Paragraphs>
  <ScaleCrop>false</ScaleCrop>
  <Company/>
  <LinksUpToDate>false</LinksUpToDate>
  <CharactersWithSpaces>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Cascante Vega, Jaime E.</dc:creator>
  <cp:keywords/>
  <dc:description/>
  <cp:lastModifiedBy>Cascante Vega, Jaime E.</cp:lastModifiedBy>
  <cp:revision>11</cp:revision>
  <dcterms:created xsi:type="dcterms:W3CDTF">2024-09-11T19:47:00Z</dcterms:created>
  <dcterms:modified xsi:type="dcterms:W3CDTF">2024-09-12T22:31:00Z</dcterms:modified>
</cp:coreProperties>
</file>