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601F60EC" w:rsidR="00873C9E" w:rsidRPr="00535BD7" w:rsidRDefault="00873C9E" w:rsidP="00F422B3">
      <w:pPr>
        <w:rPr>
          <w:rFonts w:asciiTheme="majorHAnsi" w:hAnsiTheme="majorHAnsi"/>
          <w:sz w:val="22"/>
          <w:szCs w:val="22"/>
        </w:rPr>
      </w:pPr>
      <w:r w:rsidRPr="00535BD7">
        <w:rPr>
          <w:rFonts w:asciiTheme="majorHAnsi" w:hAnsiTheme="majorHAnsi"/>
          <w:sz w:val="22"/>
          <w:szCs w:val="22"/>
        </w:rPr>
        <w:t xml:space="preserve">Authors: </w:t>
      </w:r>
      <w:r w:rsidR="00015DFB" w:rsidRPr="00535BD7">
        <w:rPr>
          <w:rFonts w:asciiTheme="majorHAnsi" w:hAnsiTheme="majorHAnsi"/>
          <w:b/>
          <w:bCs/>
          <w:sz w:val="22"/>
          <w:szCs w:val="22"/>
        </w:rPr>
        <w:t>Jaime Cascante Vega, Rami Yaari, Tal Robin, Lingsheng Wen, Jason Zucker, Anne-Catrin Uhlemann, Sen Pei, Jeffrey Shaman</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47AC59D0"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112A254A" w14:textId="39FE69B0"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 xml:space="preserve">have </w:t>
      </w:r>
      <w:r w:rsidR="00037F64">
        <w:rPr>
          <w:color w:val="000000" w:themeColor="text1"/>
          <w:sz w:val="22"/>
          <w:szCs w:val="22"/>
        </w:rPr>
        <w:t>present</w:t>
      </w:r>
      <w:r w:rsidR="00233DD1" w:rsidRPr="003A3EF6">
        <w:rPr>
          <w:color w:val="000000" w:themeColor="text1"/>
          <w:sz w:val="22"/>
          <w:szCs w:val="22"/>
        </w:rPr>
        <w:t xml:space="preserve">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4A0E4AD4"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39FEDBE8"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As we only have one observation point</w:t>
      </w:r>
      <w:r w:rsidR="00A633E9">
        <w:rPr>
          <w:rFonts w:hint="eastAsia"/>
          <w:color w:val="000000" w:themeColor="text1"/>
          <w:sz w:val="22"/>
          <w:szCs w:val="22"/>
          <w:lang w:eastAsia="zh-CN"/>
        </w:rPr>
        <w:t>,</w:t>
      </w:r>
      <w:r w:rsidR="003732CC" w:rsidRPr="003A3EF6">
        <w:rPr>
          <w:color w:val="000000" w:themeColor="text1"/>
          <w:sz w:val="22"/>
          <w:szCs w:val="22"/>
        </w:rPr>
        <w:t xml:space="preserve"> the Gaussian approximation is </w:t>
      </w:r>
      <w:r w:rsidR="00A633E9">
        <w:rPr>
          <w:rFonts w:hint="eastAsia"/>
          <w:color w:val="000000" w:themeColor="text1"/>
          <w:sz w:val="22"/>
          <w:szCs w:val="22"/>
          <w:lang w:eastAsia="zh-CN"/>
        </w:rPr>
        <w:t xml:space="preserve">used </w:t>
      </w:r>
      <w:r w:rsidR="003732CC" w:rsidRPr="003A3EF6">
        <w:rPr>
          <w:color w:val="000000" w:themeColor="text1"/>
          <w:sz w:val="22"/>
          <w:szCs w:val="22"/>
        </w:rPr>
        <w:t xml:space="preserve">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w:t>
      </w:r>
      <w:r w:rsidR="00A633E9">
        <w:rPr>
          <w:rFonts w:hint="eastAsia"/>
          <w:color w:val="000000" w:themeColor="text1"/>
          <w:sz w:val="22"/>
          <w:szCs w:val="22"/>
          <w:lang w:eastAsia="zh-CN"/>
        </w:rPr>
        <w:t xml:space="preserve"> in the ABM</w:t>
      </w:r>
      <w:r w:rsidR="00141D8A">
        <w:rPr>
          <w:rFonts w:hint="eastAsia"/>
          <w:color w:val="000000" w:themeColor="text1"/>
          <w:sz w:val="22"/>
          <w:szCs w:val="22"/>
          <w:lang w:eastAsia="zh-CN"/>
        </w:rPr>
        <w:t xml:space="preserve"> simulation</w:t>
      </w:r>
      <w:r w:rsidR="00724ECD" w:rsidRPr="003A3EF6">
        <w:rPr>
          <w:color w:val="000000" w:themeColor="text1"/>
          <w:sz w:val="22"/>
          <w:szCs w:val="22"/>
        </w:rPr>
        <w:t xml:space="preserve">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 xml:space="preserve">sed </w:t>
      </w:r>
      <w:r w:rsidR="006B2438" w:rsidRPr="003A3EF6">
        <w:rPr>
          <w:rFonts w:eastAsiaTheme="minorEastAsia"/>
          <w:b/>
          <w:bCs/>
          <w:color w:val="000000" w:themeColor="text1"/>
          <w:sz w:val="22"/>
          <w:szCs w:val="22"/>
        </w:rPr>
        <w:lastRenderedPageBreak/>
        <w:t>inference framework</w:t>
      </w:r>
      <w:r w:rsidR="00891D9F" w:rsidRPr="003A3EF6">
        <w:rPr>
          <w:color w:val="000000" w:themeColor="text1"/>
          <w:sz w:val="22"/>
          <w:szCs w:val="22"/>
        </w:rPr>
        <w:t xml:space="preserve">) </w:t>
      </w:r>
      <w:r w:rsidR="00D64296" w:rsidRPr="003A3EF6">
        <w:rPr>
          <w:color w:val="000000" w:themeColor="text1"/>
          <w:sz w:val="22"/>
          <w:szCs w:val="22"/>
        </w:rPr>
        <w:t>that we model proportional to the data, that is to the number of 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05D0F581"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t>
      </w:r>
      <w:r w:rsidR="00094B69">
        <w:rPr>
          <w:rFonts w:hint="eastAsia"/>
          <w:color w:val="000000" w:themeColor="text1"/>
          <w:sz w:val="22"/>
          <w:szCs w:val="22"/>
          <w:lang w:eastAsia="zh-CN"/>
        </w:rPr>
        <w:t>corresponding</w:t>
      </w:r>
      <w:r w:rsidR="00D4321F" w:rsidRPr="00851B86">
        <w:rPr>
          <w:color w:val="000000" w:themeColor="text1"/>
          <w:sz w:val="22"/>
          <w:szCs w:val="22"/>
        </w:rPr>
        <w:t xml:space="preserve"> to the number of patients during the study period</w:t>
      </w:r>
      <w:r w:rsidR="00141D8A">
        <w:rPr>
          <w:rFonts w:hint="eastAsia"/>
          <w:color w:val="000000" w:themeColor="text1"/>
          <w:sz w:val="22"/>
          <w:szCs w:val="22"/>
          <w:lang w:eastAsia="zh-CN"/>
        </w:rPr>
        <w:t>,</w:t>
      </w:r>
      <w:r w:rsidR="00D4321F" w:rsidRPr="00851B86">
        <w:rPr>
          <w:color w:val="000000" w:themeColor="text1"/>
          <w:sz w:val="22"/>
          <w:szCs w:val="22"/>
        </w:rPr>
        <w:t xml:space="preserve"> the EAKF is preferred as it allows </w:t>
      </w:r>
      <w:r w:rsidR="00480609">
        <w:rPr>
          <w:rFonts w:hint="eastAsia"/>
          <w:color w:val="000000" w:themeColor="text1"/>
          <w:sz w:val="22"/>
          <w:szCs w:val="22"/>
          <w:lang w:eastAsia="zh-CN"/>
        </w:rPr>
        <w:t>efficient</w:t>
      </w:r>
      <w:r w:rsidR="00D4321F" w:rsidRPr="00851B86">
        <w:rPr>
          <w:color w:val="000000" w:themeColor="text1"/>
          <w:sz w:val="22"/>
          <w:szCs w:val="22"/>
        </w:rPr>
        <w:t xml:space="preserve">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702958B4" w:rsidR="00904E3D" w:rsidRPr="003A3EF6"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r w:rsidR="00714E8D" w:rsidRPr="00714E8D">
        <w:rPr>
          <w:color w:val="000000" w:themeColor="text1"/>
          <w:sz w:val="22"/>
          <w:szCs w:val="22"/>
        </w:rPr>
        <w:t>We</w:t>
      </w:r>
      <w:r w:rsidR="00714E8D">
        <w:rPr>
          <w:color w:val="000000" w:themeColor="text1"/>
          <w:sz w:val="22"/>
          <w:szCs w:val="22"/>
        </w:rPr>
        <w:t xml:space="preserve"> thank the revi</w:t>
      </w:r>
      <w:r w:rsidR="0010249F">
        <w:rPr>
          <w:color w:val="000000" w:themeColor="text1"/>
          <w:sz w:val="22"/>
          <w:szCs w:val="22"/>
        </w:rPr>
        <w:t>ewer for this comment</w:t>
      </w:r>
      <w:r w:rsidR="00C76210">
        <w:rPr>
          <w:color w:val="000000" w:themeColor="text1"/>
          <w:sz w:val="22"/>
          <w:szCs w:val="22"/>
        </w:rPr>
        <w:t>, which is similar to</w:t>
      </w:r>
      <w:r w:rsidR="0010249F">
        <w:rPr>
          <w:color w:val="000000" w:themeColor="text1"/>
          <w:sz w:val="22"/>
          <w:szCs w:val="22"/>
        </w:rPr>
        <w:t xml:space="preserve"> </w:t>
      </w:r>
      <w:r w:rsidR="00FF67D5">
        <w:rPr>
          <w:b/>
          <w:bCs/>
          <w:color w:val="000000" w:themeColor="text1"/>
          <w:sz w:val="22"/>
          <w:szCs w:val="22"/>
        </w:rPr>
        <w:t>Co</w:t>
      </w:r>
      <w:r w:rsidR="0010249F" w:rsidRPr="00FF67D5">
        <w:rPr>
          <w:b/>
          <w:bCs/>
          <w:color w:val="000000" w:themeColor="text1"/>
          <w:sz w:val="22"/>
          <w:szCs w:val="22"/>
        </w:rPr>
        <w:t>mment</w:t>
      </w:r>
      <w:r w:rsidR="00FF67D5">
        <w:rPr>
          <w:b/>
          <w:bCs/>
          <w:color w:val="000000" w:themeColor="text1"/>
          <w:sz w:val="22"/>
          <w:szCs w:val="22"/>
        </w:rPr>
        <w:t xml:space="preserve"> 4 </w:t>
      </w:r>
      <w:r w:rsidR="00FF67D5">
        <w:rPr>
          <w:color w:val="000000" w:themeColor="text1"/>
          <w:sz w:val="22"/>
          <w:szCs w:val="22"/>
        </w:rPr>
        <w:t xml:space="preserve">of </w:t>
      </w:r>
      <w:r w:rsidR="00FF67D5">
        <w:rPr>
          <w:b/>
          <w:bCs/>
          <w:color w:val="000000" w:themeColor="text1"/>
          <w:sz w:val="22"/>
          <w:szCs w:val="22"/>
        </w:rPr>
        <w:t xml:space="preserve">Reviewer </w:t>
      </w:r>
      <w:r w:rsidR="00DB6AFE">
        <w:rPr>
          <w:rFonts w:hint="eastAsia"/>
          <w:b/>
          <w:bCs/>
          <w:color w:val="000000" w:themeColor="text1"/>
          <w:sz w:val="22"/>
          <w:szCs w:val="22"/>
          <w:lang w:eastAsia="zh-CN"/>
        </w:rPr>
        <w:t>3</w:t>
      </w:r>
      <w:r w:rsidR="00FF67D5" w:rsidRPr="00FF67D5">
        <w:rPr>
          <w:color w:val="000000" w:themeColor="text1"/>
          <w:sz w:val="22"/>
          <w:szCs w:val="22"/>
        </w:rPr>
        <w:t>.</w:t>
      </w:r>
      <w:r w:rsidR="00FF67D5">
        <w:rPr>
          <w:color w:val="000000" w:themeColor="text1"/>
          <w:sz w:val="22"/>
          <w:szCs w:val="22"/>
        </w:rPr>
        <w:t xml:space="preserve"> </w:t>
      </w:r>
      <w:commentRangeStart w:id="0"/>
      <w:commentRangeStart w:id="1"/>
      <w:commentRangeStart w:id="2"/>
      <w:r w:rsidR="00FF67D5">
        <w:rPr>
          <w:color w:val="000000" w:themeColor="text1"/>
          <w:sz w:val="22"/>
          <w:szCs w:val="22"/>
        </w:rPr>
        <w:t xml:space="preserve">We studied the possible effect of the pandemic </w:t>
      </w:r>
      <w:r w:rsidR="00121C9E">
        <w:rPr>
          <w:color w:val="000000" w:themeColor="text1"/>
          <w:sz w:val="22"/>
          <w:szCs w:val="22"/>
        </w:rPr>
        <w:t>by conducting inferences</w:t>
      </w:r>
      <w:r w:rsidR="009D4EC1">
        <w:rPr>
          <w:color w:val="000000" w:themeColor="text1"/>
          <w:sz w:val="22"/>
          <w:szCs w:val="22"/>
        </w:rPr>
        <w:t>,</w:t>
      </w:r>
      <w:r w:rsidR="00121C9E">
        <w:rPr>
          <w:color w:val="000000" w:themeColor="text1"/>
          <w:sz w:val="22"/>
          <w:szCs w:val="22"/>
        </w:rPr>
        <w:t xml:space="preserve"> ignoring the data during this period</w:t>
      </w:r>
      <w:commentRangeEnd w:id="0"/>
      <w:r w:rsidR="007C1EFD">
        <w:rPr>
          <w:rStyle w:val="CommentReference"/>
        </w:rPr>
        <w:commentReference w:id="0"/>
      </w:r>
      <w:commentRangeEnd w:id="1"/>
      <w:r w:rsidR="00B10209">
        <w:rPr>
          <w:rStyle w:val="CommentReference"/>
        </w:rPr>
        <w:commentReference w:id="1"/>
      </w:r>
      <w:r w:rsidR="00121C9E">
        <w:rPr>
          <w:color w:val="000000" w:themeColor="text1"/>
          <w:sz w:val="22"/>
          <w:szCs w:val="22"/>
        </w:rPr>
        <w:t>.</w:t>
      </w:r>
      <w:r w:rsidR="002434E3">
        <w:rPr>
          <w:color w:val="000000" w:themeColor="text1"/>
          <w:sz w:val="22"/>
          <w:szCs w:val="22"/>
        </w:rPr>
        <w:t xml:space="preserve"> </w:t>
      </w:r>
      <w:commentRangeEnd w:id="2"/>
      <w:r w:rsidR="00037F64">
        <w:rPr>
          <w:rStyle w:val="CommentReference"/>
        </w:rPr>
        <w:commentReference w:id="2"/>
      </w:r>
      <w:r w:rsidR="002434E3">
        <w:rPr>
          <w:color w:val="000000" w:themeColor="text1"/>
          <w:sz w:val="22"/>
          <w:szCs w:val="22"/>
        </w:rPr>
        <w:t xml:space="preserve">Inferring multiple transmission rates for different time periods </w:t>
      </w:r>
      <w:r w:rsidR="002008E6">
        <w:rPr>
          <w:color w:val="000000" w:themeColor="text1"/>
          <w:sz w:val="22"/>
          <w:szCs w:val="22"/>
        </w:rPr>
        <w:t>is challen</w:t>
      </w:r>
      <w:r w:rsidR="00C76210">
        <w:rPr>
          <w:color w:val="000000" w:themeColor="text1"/>
          <w:sz w:val="22"/>
          <w:szCs w:val="22"/>
        </w:rPr>
        <w:t>g</w:t>
      </w:r>
      <w:r w:rsidR="002008E6">
        <w:rPr>
          <w:color w:val="000000" w:themeColor="text1"/>
          <w:sz w:val="22"/>
          <w:szCs w:val="22"/>
        </w:rPr>
        <w:t>ing because the study period is relativel</w:t>
      </w:r>
      <w:r w:rsidR="00C76210">
        <w:rPr>
          <w:color w:val="000000" w:themeColor="text1"/>
          <w:sz w:val="22"/>
          <w:szCs w:val="22"/>
        </w:rPr>
        <w:t>y</w:t>
      </w:r>
      <w:r w:rsidR="002008E6">
        <w:rPr>
          <w:color w:val="000000" w:themeColor="text1"/>
          <w:sz w:val="22"/>
          <w:szCs w:val="22"/>
        </w:rPr>
        <w:t xml:space="preserve"> short</w:t>
      </w:r>
      <w:r w:rsidR="00C76210">
        <w:rPr>
          <w:color w:val="000000" w:themeColor="text1"/>
          <w:sz w:val="22"/>
          <w:szCs w:val="22"/>
        </w:rPr>
        <w:t>;</w:t>
      </w:r>
      <w:r w:rsidR="002008E6">
        <w:rPr>
          <w:color w:val="000000" w:themeColor="text1"/>
          <w:sz w:val="22"/>
          <w:szCs w:val="22"/>
        </w:rPr>
        <w:t xml:space="preserve"> however, the impact of the data reported </w:t>
      </w:r>
      <w:r w:rsidR="00037F64">
        <w:rPr>
          <w:color w:val="000000" w:themeColor="text1"/>
          <w:sz w:val="22"/>
          <w:szCs w:val="22"/>
        </w:rPr>
        <w:t xml:space="preserve">for </w:t>
      </w:r>
      <w:r w:rsidR="002008E6">
        <w:rPr>
          <w:color w:val="000000" w:themeColor="text1"/>
          <w:sz w:val="22"/>
          <w:szCs w:val="22"/>
        </w:rPr>
        <w:t>a specific period on the parameter estimate can be investigated.</w:t>
      </w:r>
      <w:r w:rsidR="00D061C8">
        <w:rPr>
          <w:color w:val="000000" w:themeColor="text1"/>
          <w:sz w:val="22"/>
          <w:szCs w:val="22"/>
        </w:rPr>
        <w:t xml:space="preserve"> We point the reviewer to </w:t>
      </w:r>
      <w:r w:rsidR="00D061C8">
        <w:rPr>
          <w:b/>
          <w:bCs/>
          <w:color w:val="000000" w:themeColor="text1"/>
          <w:sz w:val="22"/>
          <w:szCs w:val="22"/>
        </w:rPr>
        <w:t>Co</w:t>
      </w:r>
      <w:r w:rsidR="00D061C8" w:rsidRPr="00FF67D5">
        <w:rPr>
          <w:b/>
          <w:bCs/>
          <w:color w:val="000000" w:themeColor="text1"/>
          <w:sz w:val="22"/>
          <w:szCs w:val="22"/>
        </w:rPr>
        <w:t>mment</w:t>
      </w:r>
      <w:r w:rsidR="00D061C8">
        <w:rPr>
          <w:b/>
          <w:bCs/>
          <w:color w:val="000000" w:themeColor="text1"/>
          <w:sz w:val="22"/>
          <w:szCs w:val="22"/>
        </w:rPr>
        <w:t xml:space="preserve"> 4 </w:t>
      </w:r>
      <w:r w:rsidR="00D061C8">
        <w:rPr>
          <w:color w:val="000000" w:themeColor="text1"/>
          <w:sz w:val="22"/>
          <w:szCs w:val="22"/>
        </w:rPr>
        <w:t xml:space="preserve">of </w:t>
      </w:r>
      <w:r w:rsidR="00D061C8">
        <w:rPr>
          <w:b/>
          <w:bCs/>
          <w:color w:val="000000" w:themeColor="text1"/>
          <w:sz w:val="22"/>
          <w:szCs w:val="22"/>
        </w:rPr>
        <w:t xml:space="preserve">Reviewer </w:t>
      </w:r>
      <w:r w:rsidR="005666E3">
        <w:rPr>
          <w:rFonts w:hint="eastAsia"/>
          <w:b/>
          <w:bCs/>
          <w:color w:val="000000" w:themeColor="text1"/>
          <w:sz w:val="22"/>
          <w:szCs w:val="22"/>
          <w:lang w:eastAsia="zh-CN"/>
        </w:rPr>
        <w:t>3</w:t>
      </w:r>
      <w:r w:rsidR="005666E3">
        <w:rPr>
          <w:color w:val="000000" w:themeColor="text1"/>
          <w:sz w:val="22"/>
          <w:szCs w:val="22"/>
        </w:rPr>
        <w:t xml:space="preserve"> </w:t>
      </w:r>
      <w:r w:rsidR="00D061C8">
        <w:rPr>
          <w:color w:val="000000" w:themeColor="text1"/>
          <w:sz w:val="22"/>
          <w:szCs w:val="22"/>
        </w:rPr>
        <w:t>for details on our experiments and the findings.</w:t>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3DF31AF2" w14:textId="37FAAF65" w:rsidR="00A6782C"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t>
      </w:r>
      <w:r w:rsidR="00F422B3" w:rsidRPr="003A3EF6">
        <w:rPr>
          <w:sz w:val="22"/>
          <w:szCs w:val="22"/>
        </w:rPr>
        <w:lastRenderedPageBreak/>
        <w:t>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64D81052" w14:textId="2727869E" w:rsidR="00A6782C" w:rsidRPr="003A3EF6" w:rsidRDefault="00F422B3" w:rsidP="00F422B3">
      <w:pPr>
        <w:rPr>
          <w:color w:val="000000" w:themeColor="text1"/>
          <w:sz w:val="22"/>
          <w:szCs w:val="22"/>
        </w:rPr>
      </w:pPr>
      <w:r w:rsidRPr="003A3EF6">
        <w:rPr>
          <w:sz w:val="22"/>
          <w:szCs w:val="22"/>
        </w:rPr>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2DD1891B"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We have deleted these sentences.</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3"/>
      <w:r w:rsidRPr="003A3EF6">
        <w:rPr>
          <w:sz w:val="22"/>
          <w:szCs w:val="22"/>
        </w:rPr>
        <w:t>Here is a list of comments, please also see annotations in the PDF document attached (if you can't get the attached file, inquire with the journal).</w:t>
      </w:r>
      <w:commentRangeEnd w:id="3"/>
      <w:r w:rsidR="00DE5008" w:rsidRPr="003A3EF6">
        <w:rPr>
          <w:rStyle w:val="CommentReference"/>
          <w:sz w:val="22"/>
          <w:szCs w:val="22"/>
        </w:rPr>
        <w:commentReference w:id="3"/>
      </w:r>
      <w:r w:rsidRPr="003A3EF6">
        <w:rPr>
          <w:sz w:val="22"/>
          <w:szCs w:val="22"/>
        </w:rPr>
        <w:br/>
      </w:r>
    </w:p>
    <w:p w14:paraId="4EFB6572" w14:textId="77777777" w:rsidR="00A6782C" w:rsidRDefault="003425EE" w:rsidP="00F422B3">
      <w:pPr>
        <w:rPr>
          <w:color w:val="FF0000"/>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p>
    <w:p w14:paraId="7A9790B7" w14:textId="583B5E94" w:rsidR="0027708A" w:rsidRPr="003A3EF6" w:rsidRDefault="00EF6ED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 for th</w:t>
      </w:r>
      <w:r w:rsidR="000B45B5" w:rsidRPr="003A3EF6">
        <w:rPr>
          <w:color w:val="000000" w:themeColor="text1"/>
          <w:sz w:val="22"/>
          <w:szCs w:val="22"/>
        </w:rPr>
        <w:t>ese</w:t>
      </w:r>
      <w:r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4BBBEDE5" w14:textId="77777777" w:rsidR="00A6782C" w:rsidRDefault="00F422B3" w:rsidP="00F422B3">
      <w:pPr>
        <w:rPr>
          <w:color w:val="FF0000"/>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p>
    <w:p w14:paraId="7A375308" w14:textId="78A84188" w:rsidR="00F21D14" w:rsidRPr="003A3EF6" w:rsidRDefault="005A0D29" w:rsidP="00F422B3">
      <w:pPr>
        <w:rPr>
          <w:color w:val="000000" w:themeColor="text1"/>
          <w:sz w:val="22"/>
          <w:szCs w:val="22"/>
        </w:rPr>
      </w:pPr>
      <w:r w:rsidRPr="003A3EF6">
        <w:rPr>
          <w:color w:val="FF0000"/>
          <w:sz w:val="22"/>
          <w:szCs w:val="22"/>
        </w:rPr>
        <w:lastRenderedPageBreak/>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32D03E86" w14:textId="77777777" w:rsidR="00A6782C" w:rsidRDefault="00F422B3" w:rsidP="004D689A">
      <w:pPr>
        <w:rPr>
          <w:color w:val="FF0000"/>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p>
    <w:p w14:paraId="4D0D9617" w14:textId="269E54BE" w:rsidR="001A51A5" w:rsidRPr="003A3EF6" w:rsidRDefault="005A0D29" w:rsidP="004D689A">
      <w:pPr>
        <w:rPr>
          <w:color w:val="000000" w:themeColor="text1"/>
          <w:sz w:val="22"/>
          <w:szCs w:val="22"/>
        </w:rPr>
      </w:pPr>
      <w:r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w:t>
      </w:r>
      <w:r w:rsidR="009C1B7C">
        <w:rPr>
          <w:color w:val="000000" w:themeColor="text1"/>
          <w:sz w:val="22"/>
          <w:szCs w:val="22"/>
        </w:rPr>
        <w:t>for</w:t>
      </w:r>
      <w:r w:rsidR="009C1B7C" w:rsidRPr="003A3EF6">
        <w:rPr>
          <w:color w:val="000000" w:themeColor="text1"/>
          <w:sz w:val="22"/>
          <w:szCs w:val="22"/>
        </w:rPr>
        <w:t xml:space="preserve"> </w:t>
      </w:r>
      <w:r w:rsidR="00C37E08" w:rsidRPr="003A3EF6">
        <w:rPr>
          <w:color w:val="000000" w:themeColor="text1"/>
          <w:sz w:val="22"/>
          <w:szCs w:val="22"/>
        </w:rPr>
        <w:t>the importation rate spanning values found in the literature worldwide</w:t>
      </w:r>
      <w:r w:rsidR="009D5A9F" w:rsidRPr="003A3EF6">
        <w:rPr>
          <w:color w:val="000000" w:themeColor="text1"/>
          <w:sz w:val="22"/>
          <w:szCs w:val="22"/>
        </w:rPr>
        <w:t xml:space="preserve">. The </w:t>
      </w:r>
      <w:r w:rsidR="009C1B7C">
        <w:rPr>
          <w:color w:val="000000" w:themeColor="text1"/>
          <w:sz w:val="22"/>
          <w:szCs w:val="22"/>
        </w:rPr>
        <w:t>inferences</w:t>
      </w:r>
      <w:r w:rsidR="009D5A9F" w:rsidRPr="003A3EF6">
        <w:rPr>
          <w:color w:val="000000" w:themeColor="text1"/>
          <w:sz w:val="22"/>
          <w:szCs w:val="22"/>
        </w:rPr>
        <w:t xml:space="preserve">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9C1B7C">
        <w:rPr>
          <w:color w:val="000000" w:themeColor="text1"/>
          <w:sz w:val="22"/>
          <w:szCs w:val="22"/>
        </w:rPr>
        <w:t>0.0</w:t>
      </w:r>
      <w:commentRangeStart w:id="4"/>
      <w:r w:rsidR="00BF1F05" w:rsidRPr="003A3EF6">
        <w:rPr>
          <w:color w:val="000000" w:themeColor="text1"/>
          <w:sz w:val="22"/>
          <w:szCs w:val="22"/>
        </w:rPr>
        <w:t>5</w:t>
      </w:r>
      <w:r w:rsidR="00773547" w:rsidRPr="003A3EF6">
        <w:rPr>
          <w:color w:val="000000" w:themeColor="text1"/>
          <w:sz w:val="22"/>
          <w:szCs w:val="22"/>
        </w:rPr>
        <w:t xml:space="preserve">. </w:t>
      </w:r>
      <w:commentRangeEnd w:id="4"/>
      <w:r w:rsidR="009C1B7C">
        <w:rPr>
          <w:rStyle w:val="CommentReference"/>
        </w:rPr>
        <w:commentReference w:id="4"/>
      </w:r>
      <w:r w:rsidR="00773547" w:rsidRPr="003A3EF6">
        <w:rPr>
          <w:color w:val="000000" w:themeColor="text1"/>
          <w:sz w:val="22"/>
          <w:szCs w:val="22"/>
        </w:rPr>
        <w:t>The result</w:t>
      </w:r>
      <w:r w:rsidR="00094B69">
        <w:rPr>
          <w:rFonts w:hint="eastAsia"/>
          <w:color w:val="000000" w:themeColor="text1"/>
          <w:sz w:val="22"/>
          <w:szCs w:val="22"/>
          <w:lang w:eastAsia="zh-CN"/>
        </w:rPr>
        <w:t>s</w:t>
      </w:r>
      <w:r w:rsidR="00773547" w:rsidRPr="003A3EF6">
        <w:rPr>
          <w:color w:val="000000" w:themeColor="text1"/>
          <w:sz w:val="22"/>
          <w:szCs w:val="22"/>
        </w:rPr>
        <w:t xml:space="preserve"> of </w:t>
      </w:r>
      <w:r w:rsidR="003837B3" w:rsidRPr="003A3EF6">
        <w:rPr>
          <w:color w:val="000000" w:themeColor="text1"/>
          <w:sz w:val="22"/>
          <w:szCs w:val="22"/>
        </w:rPr>
        <w:t>this work are</w:t>
      </w:r>
      <w:r w:rsidR="00773547" w:rsidRPr="003A3EF6">
        <w:rPr>
          <w:color w:val="000000" w:themeColor="text1"/>
          <w:sz w:val="22"/>
          <w:szCs w:val="22"/>
        </w:rPr>
        <w:t xml:space="preserve"> presented in </w:t>
      </w:r>
      <w:commentRangeStart w:id="5"/>
      <w:commentRangeStart w:id="6"/>
      <w:r w:rsidR="00773547" w:rsidRPr="003A3EF6">
        <w:rPr>
          <w:color w:val="00B0F0"/>
          <w:sz w:val="22"/>
          <w:szCs w:val="22"/>
        </w:rPr>
        <w:t>Figure R1</w:t>
      </w:r>
      <w:r w:rsidR="00773547" w:rsidRPr="003A3EF6">
        <w:rPr>
          <w:color w:val="000000" w:themeColor="text1"/>
          <w:sz w:val="22"/>
          <w:szCs w:val="22"/>
        </w:rPr>
        <w:t xml:space="preserve"> </w:t>
      </w:r>
      <w:commentRangeEnd w:id="5"/>
      <w:r w:rsidR="00094B69">
        <w:rPr>
          <w:rStyle w:val="CommentReference"/>
        </w:rPr>
        <w:commentReference w:id="5"/>
      </w:r>
      <w:commentRangeEnd w:id="6"/>
      <w:r w:rsidR="00094D00">
        <w:rPr>
          <w:rStyle w:val="CommentReference"/>
        </w:rPr>
        <w:commentReference w:id="6"/>
      </w:r>
      <w:r w:rsidR="00773547" w:rsidRPr="003A3EF6">
        <w:rPr>
          <w:color w:val="000000" w:themeColor="text1"/>
          <w:sz w:val="22"/>
          <w:szCs w:val="22"/>
        </w:rPr>
        <w:t xml:space="preserve">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040BE4" w:rsidRPr="003A3EF6">
        <w:rPr>
          <w:color w:val="000000" w:themeColor="text1"/>
          <w:sz w:val="22"/>
          <w:szCs w:val="22"/>
        </w:rPr>
        <w:t>.</w:t>
      </w:r>
      <w:r w:rsidR="009D2C3F" w:rsidRPr="003A3EF6">
        <w:rPr>
          <w:color w:val="000000" w:themeColor="text1"/>
          <w:sz w:val="22"/>
          <w:szCs w:val="22"/>
        </w:rPr>
        <w:t xml:space="preserve"> </w:t>
      </w:r>
      <w:commentRangeStart w:id="7"/>
      <w:r w:rsidR="00182D7A">
        <w:rPr>
          <w:color w:val="000000" w:themeColor="text1"/>
          <w:sz w:val="22"/>
          <w:szCs w:val="22"/>
        </w:rPr>
        <w:t xml:space="preserve">In </w:t>
      </w:r>
      <w:commentRangeStart w:id="8"/>
      <w:commentRangeStart w:id="9"/>
      <w:r w:rsidR="00182D7A" w:rsidRPr="003B6527">
        <w:rPr>
          <w:color w:val="00B0F0"/>
          <w:sz w:val="22"/>
          <w:szCs w:val="22"/>
        </w:rPr>
        <w:t xml:space="preserve">Table R1 </w:t>
      </w:r>
      <w:commentRangeEnd w:id="8"/>
      <w:r w:rsidR="00094B69">
        <w:rPr>
          <w:rStyle w:val="CommentReference"/>
        </w:rPr>
        <w:commentReference w:id="8"/>
      </w:r>
      <w:commentRangeEnd w:id="9"/>
      <w:r w:rsidR="00094D00">
        <w:rPr>
          <w:rStyle w:val="CommentReference"/>
        </w:rPr>
        <w:commentReference w:id="9"/>
      </w:r>
      <w:r w:rsidR="00182D7A">
        <w:rPr>
          <w:color w:val="000000" w:themeColor="text1"/>
          <w:sz w:val="22"/>
          <w:szCs w:val="22"/>
        </w:rPr>
        <w:t>w</w:t>
      </w:r>
      <w:r w:rsidR="009D2C3F" w:rsidRPr="003A3EF6">
        <w:rPr>
          <w:color w:val="000000" w:themeColor="text1"/>
          <w:sz w:val="22"/>
          <w:szCs w:val="22"/>
        </w:rPr>
        <w:t xml:space="preserve">e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w:t>
      </w:r>
      <w:r w:rsidR="00247F42">
        <w:rPr>
          <w:color w:val="000000" w:themeColor="text1"/>
          <w:sz w:val="22"/>
          <w:szCs w:val="22"/>
        </w:rPr>
        <w:t xml:space="preserve">mean </w:t>
      </w:r>
      <w:r w:rsidR="005F3300" w:rsidRPr="003A3EF6">
        <w:rPr>
          <w:color w:val="000000" w:themeColor="text1"/>
          <w:sz w:val="22"/>
          <w:szCs w:val="22"/>
        </w:rPr>
        <w:t>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 xml:space="preserve">by the set </w:t>
      </w:r>
      <w:r w:rsidR="009C1B7C">
        <w:rPr>
          <w:color w:val="000000" w:themeColor="text1"/>
          <w:sz w:val="22"/>
          <w:szCs w:val="22"/>
        </w:rPr>
        <w:t xml:space="preserve">value of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t>
      </w:r>
    </w:p>
    <w:p w14:paraId="57E84234" w14:textId="42C6F186" w:rsidR="00A54DAB"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w:r w:rsidR="002A5BCE" w:rsidRPr="003A3EF6">
        <w:rPr>
          <w:color w:val="000000" w:themeColor="text1"/>
          <w:sz w:val="22"/>
          <w:szCs w:val="22"/>
        </w:rPr>
        <w:lastRenderedPageBreak/>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846048">
        <w:rPr>
          <w:color w:val="000000" w:themeColor="text1"/>
          <w:sz w:val="22"/>
          <w:szCs w:val="22"/>
        </w:rPr>
        <w:t>For</w:t>
      </w:r>
      <w:r w:rsidR="00380F78" w:rsidRPr="003A3EF6">
        <w:rPr>
          <w:color w:val="000000" w:themeColor="text1"/>
          <w:sz w:val="22"/>
          <w:szCs w:val="22"/>
        </w:rPr>
        <w:t xml:space="preserve">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1BDC9BCB" w14:textId="2325C03C" w:rsidR="00521298" w:rsidRPr="002000C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A54DAB">
        <w:rPr>
          <w:color w:val="000000" w:themeColor="text1"/>
          <w:sz w:val="22"/>
          <w:szCs w:val="22"/>
        </w:rPr>
        <w:t xml:space="preserve">on a </w:t>
      </w:r>
      <w:r w:rsidR="00A54DAB" w:rsidRPr="003A3EF6">
        <w:rPr>
          <w:color w:val="000000" w:themeColor="text1"/>
          <w:sz w:val="22"/>
          <w:szCs w:val="22"/>
        </w:rPr>
        <w:t xml:space="preserve">broader range of importation rates </w:t>
      </w:r>
      <m:oMath>
        <m:r>
          <w:rPr>
            <w:rFonts w:ascii="Cambria Math" w:hAnsi="Cambria Math"/>
            <w:color w:val="000000" w:themeColor="text1"/>
            <w:sz w:val="22"/>
            <w:szCs w:val="22"/>
          </w:rPr>
          <m:t>γ</m:t>
        </m:r>
      </m:oMath>
      <w:r w:rsidR="00A54DAB" w:rsidRPr="003A3EF6">
        <w:rPr>
          <w:color w:val="000000" w:themeColor="text1"/>
          <w:sz w:val="22"/>
          <w:szCs w:val="22"/>
        </w:rPr>
        <w:t xml:space="preserve"> </w:t>
      </w:r>
      <w:commentRangeStart w:id="10"/>
      <w:commentRangeStart w:id="11"/>
      <w:commentRangeStart w:id="12"/>
      <w:commentRangeStart w:id="13"/>
      <w:r w:rsidR="009C1B7C">
        <w:rPr>
          <w:color w:val="000000" w:themeColor="text1"/>
          <w:sz w:val="22"/>
          <w:szCs w:val="22"/>
        </w:rPr>
        <w:t>than</w:t>
      </w:r>
      <w:r w:rsidR="00A54DAB" w:rsidRPr="003A3EF6">
        <w:rPr>
          <w:color w:val="000000" w:themeColor="text1"/>
          <w:sz w:val="22"/>
          <w:szCs w:val="22"/>
        </w:rPr>
        <w:t xml:space="preserve"> presented in the main text</w:t>
      </w:r>
      <w:r w:rsidR="00A54DAB">
        <w:rPr>
          <w:color w:val="000000" w:themeColor="text1"/>
          <w:sz w:val="22"/>
          <w:szCs w:val="22"/>
        </w:rPr>
        <w:t>, which we found in the literature.</w:t>
      </w:r>
      <w:r w:rsidR="0002467E">
        <w:rPr>
          <w:color w:val="000000" w:themeColor="text1"/>
          <w:sz w:val="22"/>
          <w:szCs w:val="22"/>
        </w:rPr>
        <w:t xml:space="preserve"> </w:t>
      </w:r>
      <w:r w:rsidR="00A54DAB" w:rsidRPr="003A3EF6">
        <w:rPr>
          <w:color w:val="000000" w:themeColor="text1"/>
          <w:sz w:val="22"/>
          <w:szCs w:val="22"/>
        </w:rPr>
        <w:t xml:space="preserve"> </w:t>
      </w:r>
      <w:commentRangeEnd w:id="10"/>
      <w:r w:rsidR="00A54DAB" w:rsidRPr="003A3EF6">
        <w:rPr>
          <w:rStyle w:val="CommentReference"/>
          <w:sz w:val="22"/>
          <w:szCs w:val="22"/>
        </w:rPr>
        <w:commentReference w:id="10"/>
      </w:r>
      <w:commentRangeEnd w:id="11"/>
      <w:r w:rsidR="00636466">
        <w:rPr>
          <w:rStyle w:val="CommentReference"/>
        </w:rPr>
        <w:commentReference w:id="11"/>
      </w:r>
      <w:commentRangeEnd w:id="12"/>
      <w:r w:rsidR="001B316E">
        <w:rPr>
          <w:rStyle w:val="CommentReference"/>
        </w:rPr>
        <w:commentReference w:id="12"/>
      </w:r>
      <w:commentRangeEnd w:id="13"/>
      <w:r w:rsidR="009C1B7C">
        <w:rPr>
          <w:rStyle w:val="CommentReference"/>
        </w:rPr>
        <w:commentReference w:id="13"/>
      </w:r>
      <w:r w:rsidR="00815E7E">
        <w:rPr>
          <w:color w:val="000000" w:themeColor="text1"/>
          <w:sz w:val="22"/>
          <w:szCs w:val="22"/>
        </w:rPr>
        <w:t>Biases in</w:t>
      </w:r>
      <w:r w:rsidR="001F05B4">
        <w:rPr>
          <w:color w:val="000000" w:themeColor="text1"/>
          <w:sz w:val="22"/>
          <w:szCs w:val="22"/>
        </w:rPr>
        <w:t xml:space="preserve"> the parameter estimates </w:t>
      </w:r>
      <w:r w:rsidR="00C8374D">
        <w:rPr>
          <w:color w:val="000000" w:themeColor="text1"/>
          <w:sz w:val="22"/>
          <w:szCs w:val="22"/>
        </w:rPr>
        <w:t xml:space="preserve">occur for </w:t>
      </w:r>
      <w:r w:rsidR="001F05B4" w:rsidRPr="00CB64C5">
        <w:rPr>
          <w:color w:val="000000" w:themeColor="text1"/>
          <w:sz w:val="22"/>
          <w:szCs w:val="22"/>
        </w:rPr>
        <w:t xml:space="preserve">importation levels </w:t>
      </w:r>
      <w:r w:rsidR="00C8374D">
        <w:rPr>
          <w:color w:val="000000" w:themeColor="text1"/>
          <w:sz w:val="22"/>
          <w:szCs w:val="22"/>
        </w:rPr>
        <w:t>not</w:t>
      </w:r>
      <w:r w:rsidR="001F05B4" w:rsidRPr="00CB64C5">
        <w:rPr>
          <w:color w:val="000000" w:themeColor="text1"/>
          <w:sz w:val="22"/>
          <w:szCs w:val="22"/>
        </w:rPr>
        <w:t xml:space="preserve"> reported in the literatur</w:t>
      </w:r>
      <w:r w:rsidR="00255FD9">
        <w:rPr>
          <w:color w:val="000000" w:themeColor="text1"/>
          <w:sz w:val="22"/>
          <w:szCs w:val="22"/>
        </w:rPr>
        <w:t>e (</w:t>
      </w:r>
      <w:r w:rsidR="00255FD9" w:rsidRPr="003B6527">
        <w:rPr>
          <w:color w:val="00B0F0"/>
          <w:sz w:val="22"/>
          <w:szCs w:val="22"/>
        </w:rPr>
        <w:t>Figure R</w:t>
      </w:r>
      <w:r w:rsidR="003B6527" w:rsidRPr="003B6527">
        <w:rPr>
          <w:color w:val="00B0F0"/>
          <w:sz w:val="22"/>
          <w:szCs w:val="22"/>
        </w:rPr>
        <w:t>1</w:t>
      </w:r>
      <w:r w:rsidR="003B6527">
        <w:rPr>
          <w:color w:val="000000" w:themeColor="text1"/>
          <w:sz w:val="22"/>
          <w:szCs w:val="22"/>
        </w:rPr>
        <w:t>)</w:t>
      </w:r>
      <w:r w:rsidR="000F48EA">
        <w:rPr>
          <w:color w:val="000000" w:themeColor="text1"/>
          <w:sz w:val="22"/>
          <w:szCs w:val="22"/>
        </w:rPr>
        <w:t>, and such biases are typically nonlinear.</w:t>
      </w:r>
      <w:commentRangeEnd w:id="7"/>
      <w:r w:rsidR="00137137">
        <w:rPr>
          <w:rStyle w:val="CommentReference"/>
        </w:rPr>
        <w:commentReference w:id="7"/>
      </w:r>
    </w:p>
    <w:p w14:paraId="4FAE5293" w14:textId="77777777" w:rsidR="00A6782C" w:rsidRDefault="00192FFC" w:rsidP="00F422B3">
      <w:pPr>
        <w:rPr>
          <w:color w:val="FF0000"/>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p>
    <w:p w14:paraId="63D88F63" w14:textId="25E778C2" w:rsidR="005B25E7" w:rsidRPr="003A3EF6" w:rsidRDefault="005A0D2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w:t>
      </w:r>
      <w:r w:rsidR="00137137">
        <w:rPr>
          <w:color w:val="000000" w:themeColor="text1"/>
          <w:sz w:val="22"/>
          <w:szCs w:val="22"/>
        </w:rPr>
        <w:t>inference results in the</w:t>
      </w:r>
      <w:r w:rsidR="00F57B12" w:rsidRPr="003A3EF6">
        <w:rPr>
          <w:color w:val="000000" w:themeColor="text1"/>
          <w:sz w:val="22"/>
          <w:szCs w:val="22"/>
        </w:rPr>
        <w:t xml:space="preserve">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3C10728F"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 xml:space="preserve">synthetic </w:t>
      </w:r>
      <w:r w:rsidR="00137137">
        <w:rPr>
          <w:color w:val="000000" w:themeColor="text1"/>
          <w:sz w:val="22"/>
          <w:szCs w:val="22"/>
        </w:rPr>
        <w:t>tests</w:t>
      </w:r>
      <w:r w:rsidR="00252285" w:rsidRPr="003A3EF6">
        <w:rPr>
          <w:color w:val="000000" w:themeColor="text1"/>
          <w:sz w:val="22"/>
          <w:szCs w:val="22"/>
        </w:rPr>
        <w:t>: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worldwide.</w:t>
      </w:r>
    </w:p>
    <w:p w14:paraId="5715AEB2" w14:textId="5E07A7BF"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 xml:space="preserve">synthetic </w:t>
      </w:r>
      <w:r w:rsidR="00137137">
        <w:rPr>
          <w:color w:val="000000" w:themeColor="text1"/>
          <w:sz w:val="22"/>
          <w:szCs w:val="22"/>
        </w:rPr>
        <w:t>tests</w:t>
      </w:r>
      <w:r w:rsidR="00137137" w:rsidRPr="003A3EF6">
        <w:rPr>
          <w:color w:val="000000" w:themeColor="text1"/>
          <w:sz w:val="22"/>
          <w:szCs w:val="22"/>
        </w:rPr>
        <w:t xml:space="preserve"> </w:t>
      </w:r>
      <w:r w:rsidR="0099761A" w:rsidRPr="003A3EF6">
        <w:rPr>
          <w:color w:val="000000" w:themeColor="text1"/>
          <w:sz w:val="22"/>
          <w:szCs w:val="22"/>
        </w:rPr>
        <w:t>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 10, 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w:t>
      </w:r>
      <w:r w:rsidR="00D349A5" w:rsidRPr="003A3EF6">
        <w:rPr>
          <w:color w:val="00B0F0"/>
          <w:sz w:val="22"/>
          <w:szCs w:val="22"/>
        </w:rPr>
        <w:t>Figure R</w:t>
      </w:r>
      <w:r w:rsidR="00954012">
        <w:rPr>
          <w:color w:val="00B0F0"/>
          <w:sz w:val="22"/>
          <w:szCs w:val="22"/>
        </w:rPr>
        <w:t xml:space="preserve">2 A, B </w:t>
      </w:r>
      <w:r w:rsidR="00954012" w:rsidRPr="00C14771">
        <w:rPr>
          <w:color w:val="000000" w:themeColor="text1"/>
          <w:sz w:val="22"/>
          <w:szCs w:val="22"/>
        </w:rPr>
        <w:t xml:space="preserve">and </w:t>
      </w:r>
      <w:r w:rsidR="00954012">
        <w:rPr>
          <w:color w:val="00B0F0"/>
          <w:sz w:val="22"/>
          <w:szCs w:val="22"/>
        </w:rPr>
        <w:t>C</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lastRenderedPageBreak/>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commentRangeStart w:id="14"/>
      <w:r w:rsidR="001D33C5" w:rsidRPr="003A3EF6">
        <w:rPr>
          <w:color w:val="00B0F0"/>
          <w:sz w:val="22"/>
          <w:szCs w:val="22"/>
        </w:rPr>
        <w:t>Figure R</w:t>
      </w:r>
      <w:r w:rsidR="00F1356D">
        <w:rPr>
          <w:color w:val="00B0F0"/>
          <w:sz w:val="22"/>
          <w:szCs w:val="22"/>
        </w:rPr>
        <w:t>3</w:t>
      </w:r>
      <w:r w:rsidR="00E44A22" w:rsidRPr="003A3EF6">
        <w:rPr>
          <w:color w:val="00B0F0"/>
          <w:sz w:val="22"/>
          <w:szCs w:val="22"/>
        </w:rPr>
        <w:t xml:space="preserve"> </w:t>
      </w:r>
      <w:commentRangeEnd w:id="14"/>
      <w:r w:rsidR="00094B69">
        <w:rPr>
          <w:rStyle w:val="CommentReference"/>
        </w:rPr>
        <w:commentReference w:id="14"/>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66BB3562"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137137">
        <w:rPr>
          <w:color w:val="000000" w:themeColor="text1"/>
          <w:sz w:val="22"/>
          <w:szCs w:val="22"/>
        </w:rPr>
        <w:t xml:space="preserve">response to </w:t>
      </w:r>
      <w:r w:rsidR="00B41CD2" w:rsidRPr="003A3EF6">
        <w:rPr>
          <w:b/>
          <w:bCs/>
          <w:sz w:val="22"/>
          <w:szCs w:val="22"/>
        </w:rPr>
        <w:t>Comment 4</w:t>
      </w:r>
      <w:r w:rsidR="00B41CD2">
        <w:rPr>
          <w:b/>
          <w:bCs/>
          <w:sz w:val="22"/>
          <w:szCs w:val="22"/>
        </w:rPr>
        <w:t xml:space="preserve"> </w:t>
      </w:r>
      <w:r w:rsidR="00B41CD2">
        <w:rPr>
          <w:sz w:val="22"/>
          <w:szCs w:val="22"/>
        </w:rPr>
        <w:t xml:space="preserve">of </w:t>
      </w:r>
      <w:r w:rsidR="00B41CD2">
        <w:rPr>
          <w:b/>
          <w:bCs/>
          <w:sz w:val="22"/>
          <w:szCs w:val="22"/>
        </w:rPr>
        <w:t>Reviewer 3</w:t>
      </w:r>
      <w:r w:rsidR="0051688C">
        <w:rPr>
          <w:sz w:val="22"/>
          <w:szCs w:val="22"/>
        </w:rPr>
        <w:t>.</w:t>
      </w:r>
    </w:p>
    <w:p w14:paraId="73DAC958" w14:textId="5FD37089" w:rsidR="00032DBC"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r w:rsidR="00032DBC">
        <w:rPr>
          <w:color w:val="000000" w:themeColor="text1"/>
          <w:sz w:val="22"/>
          <w:szCs w:val="22"/>
        </w:rPr>
        <w:t>We thank the reviewer for the comment</w:t>
      </w:r>
      <w:r w:rsidR="00864863">
        <w:rPr>
          <w:color w:val="000000" w:themeColor="text1"/>
          <w:sz w:val="22"/>
          <w:szCs w:val="22"/>
        </w:rPr>
        <w:t xml:space="preserve">. We have </w:t>
      </w:r>
      <w:r w:rsidR="00137137">
        <w:rPr>
          <w:color w:val="000000" w:themeColor="text1"/>
          <w:sz w:val="22"/>
          <w:szCs w:val="22"/>
        </w:rPr>
        <w:t xml:space="preserve">conducted </w:t>
      </w:r>
      <w:r w:rsidR="00032DBC">
        <w:rPr>
          <w:color w:val="000000" w:themeColor="text1"/>
          <w:sz w:val="22"/>
          <w:szCs w:val="22"/>
        </w:rPr>
        <w:t xml:space="preserve">another round of editing </w:t>
      </w:r>
      <w:r w:rsidR="00137137">
        <w:rPr>
          <w:color w:val="000000" w:themeColor="text1"/>
          <w:sz w:val="22"/>
          <w:szCs w:val="22"/>
        </w:rPr>
        <w:t xml:space="preserve">for </w:t>
      </w:r>
      <w:r w:rsidR="00032DBC">
        <w:rPr>
          <w:color w:val="000000" w:themeColor="text1"/>
          <w:sz w:val="22"/>
          <w:szCs w:val="22"/>
        </w:rPr>
        <w:t>style, syntax</w:t>
      </w:r>
      <w:r w:rsidR="00864863">
        <w:rPr>
          <w:color w:val="000000" w:themeColor="text1"/>
          <w:sz w:val="22"/>
          <w:szCs w:val="22"/>
        </w:rPr>
        <w:t>,</w:t>
      </w:r>
      <w:r w:rsidR="00032DBC">
        <w:rPr>
          <w:color w:val="000000" w:themeColor="text1"/>
          <w:sz w:val="22"/>
          <w:szCs w:val="22"/>
        </w:rPr>
        <w:t xml:space="preserve"> and grammar</w:t>
      </w:r>
      <w:r w:rsidR="00844374">
        <w:rPr>
          <w:color w:val="000000" w:themeColor="text1"/>
          <w:sz w:val="22"/>
          <w:szCs w:val="22"/>
        </w:rPr>
        <w:t>.</w:t>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39DFCE87" w14:textId="77777777" w:rsidR="00A6782C" w:rsidRDefault="004D689A" w:rsidP="00F422B3">
      <w:pPr>
        <w:rPr>
          <w:color w:val="FF0000"/>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lastRenderedPageBreak/>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p>
    <w:p w14:paraId="652F25B1" w14:textId="0B17B101" w:rsidR="00F747AA" w:rsidRPr="00A6782C" w:rsidRDefault="00934F46" w:rsidP="00F422B3">
      <w:pPr>
        <w:rPr>
          <w:color w:val="FF0000"/>
          <w:sz w:val="22"/>
          <w:szCs w:val="22"/>
        </w:rPr>
      </w:pPr>
      <w:r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1A19B2DF"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p>
    <w:p w14:paraId="73DF5CB9" w14:textId="369ECEBC" w:rsidR="00934F46" w:rsidRPr="003A3EF6" w:rsidRDefault="00934F46" w:rsidP="00F422B3">
      <w:pPr>
        <w:rPr>
          <w:color w:val="00B0F0"/>
          <w:sz w:val="22"/>
          <w:szCs w:val="22"/>
        </w:rPr>
      </w:pPr>
      <w:r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w:t>
      </w:r>
      <w:r w:rsidR="007036FC">
        <w:rPr>
          <w:color w:val="000000" w:themeColor="text1"/>
          <w:sz w:val="22"/>
          <w:szCs w:val="22"/>
        </w:rPr>
        <w:t xml:space="preserve"> you</w:t>
      </w:r>
      <w:r w:rsidR="003D0124" w:rsidRPr="003A3EF6">
        <w:rPr>
          <w:color w:val="000000" w:themeColor="text1"/>
          <w:sz w:val="22"/>
          <w:szCs w:val="22"/>
        </w:rPr>
        <w:t xml:space="preserve">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w:t>
      </w:r>
      <w:r w:rsidR="007036FC">
        <w:rPr>
          <w:color w:val="000000" w:themeColor="text1"/>
          <w:sz w:val="22"/>
          <w:szCs w:val="22"/>
        </w:rPr>
        <w:t>Please see our</w:t>
      </w:r>
      <w:r w:rsidR="007036FC" w:rsidRPr="003A3EF6">
        <w:rPr>
          <w:color w:val="000000" w:themeColor="text1"/>
          <w:sz w:val="22"/>
          <w:szCs w:val="22"/>
        </w:rPr>
        <w:t xml:space="preserve"> </w:t>
      </w:r>
      <w:r w:rsidR="004D5EC8" w:rsidRPr="003A3EF6">
        <w:rPr>
          <w:color w:val="000000" w:themeColor="text1"/>
          <w:sz w:val="22"/>
          <w:szCs w:val="22"/>
        </w:rPr>
        <w:t>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Reviewer 2</w:t>
      </w:r>
      <w:r w:rsidR="007036FC" w:rsidRPr="0013475E">
        <w:rPr>
          <w:color w:val="000000" w:themeColor="text1"/>
          <w:sz w:val="22"/>
          <w:szCs w:val="22"/>
        </w:rPr>
        <w:t>;</w:t>
      </w:r>
      <w:r w:rsidR="00453DED" w:rsidRPr="003A3EF6">
        <w:rPr>
          <w:b/>
          <w:bCs/>
          <w:color w:val="000000" w:themeColor="text1"/>
          <w:sz w:val="22"/>
          <w:szCs w:val="22"/>
        </w:rPr>
        <w:t xml:space="preserve">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0A549D">
        <w:rPr>
          <w:color w:val="00B0F0"/>
          <w:sz w:val="22"/>
          <w:szCs w:val="22"/>
        </w:rPr>
        <w:t>2</w:t>
      </w:r>
      <w:r w:rsidR="00F35C3C" w:rsidRPr="003A3EF6">
        <w:rPr>
          <w:color w:val="000000" w:themeColor="text1"/>
          <w:sz w:val="22"/>
          <w:szCs w:val="22"/>
        </w:rPr>
        <w:t>)</w:t>
      </w:r>
      <w:r w:rsidR="001C2DE3" w:rsidRPr="003A3EF6">
        <w:rPr>
          <w:color w:val="000000" w:themeColor="text1"/>
          <w:sz w:val="22"/>
          <w:szCs w:val="22"/>
        </w:rPr>
        <w:t xml:space="preserve">. </w:t>
      </w:r>
    </w:p>
    <w:p w14:paraId="032B3DA3"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p>
    <w:p w14:paraId="73029676" w14:textId="117F0590" w:rsidR="00FE071F" w:rsidRDefault="00270789" w:rsidP="00F422B3">
      <w:pPr>
        <w:rPr>
          <w:color w:val="000000" w:themeColor="text1"/>
          <w:sz w:val="22"/>
          <w:szCs w:val="22"/>
        </w:rPr>
      </w:pPr>
      <w:r w:rsidRPr="003A3EF6">
        <w:rPr>
          <w:color w:val="FF0000"/>
          <w:sz w:val="22"/>
          <w:szCs w:val="22"/>
        </w:rPr>
        <w:t xml:space="preserve">Answer. </w:t>
      </w:r>
      <w:r w:rsidR="007F6F43" w:rsidRPr="00356E9C">
        <w:rPr>
          <w:color w:val="000000" w:themeColor="text1"/>
          <w:sz w:val="22"/>
          <w:szCs w:val="22"/>
        </w:rPr>
        <w:t>Thank</w:t>
      </w:r>
      <w:r w:rsidR="007036FC">
        <w:rPr>
          <w:color w:val="000000" w:themeColor="text1"/>
          <w:sz w:val="22"/>
          <w:szCs w:val="22"/>
        </w:rPr>
        <w:t xml:space="preserve"> you</w:t>
      </w:r>
      <w:r w:rsidR="007F6F43" w:rsidRPr="00356E9C">
        <w:rPr>
          <w:color w:val="000000" w:themeColor="text1"/>
          <w:sz w:val="22"/>
          <w:szCs w:val="22"/>
        </w:rPr>
        <w:t xml:space="preserve">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w:t>
      </w:r>
      <w:r w:rsidR="007036FC">
        <w:rPr>
          <w:color w:val="000000" w:themeColor="text1"/>
          <w:sz w:val="22"/>
          <w:szCs w:val="22"/>
        </w:rPr>
        <w:t xml:space="preserve">time </w:t>
      </w:r>
      <w:r w:rsidR="00052C20" w:rsidRPr="00356E9C">
        <w:rPr>
          <w:color w:val="000000" w:themeColor="text1"/>
          <w:sz w:val="22"/>
          <w:szCs w:val="22"/>
        </w:rPr>
        <w:t>periods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w:t>
      </w:r>
      <w:r w:rsidR="007036FC">
        <w:rPr>
          <w:color w:val="000000" w:themeColor="text1"/>
          <w:sz w:val="22"/>
          <w:szCs w:val="22"/>
        </w:rPr>
        <w:t>d</w:t>
      </w:r>
      <w:r w:rsidR="00BC0C29" w:rsidRPr="00356E9C">
        <w:rPr>
          <w:color w:val="000000" w:themeColor="text1"/>
          <w:sz w:val="22"/>
          <w:szCs w:val="22"/>
        </w:rPr>
        <w:t xml:space="preserve"> </w:t>
      </w:r>
      <w:r w:rsidR="0043473F" w:rsidRPr="00356E9C">
        <w:rPr>
          <w:color w:val="000000" w:themeColor="text1"/>
          <w:sz w:val="22"/>
          <w:szCs w:val="22"/>
        </w:rPr>
        <w:t>the impact of the low number of patients at the start of the study period</w:t>
      </w:r>
      <w:r w:rsidR="007036FC">
        <w:rPr>
          <w:color w:val="000000" w:themeColor="text1"/>
          <w:sz w:val="22"/>
          <w:szCs w:val="22"/>
        </w:rPr>
        <w:t>,</w:t>
      </w:r>
      <w:r w:rsidR="0043473F" w:rsidRPr="00356E9C">
        <w:rPr>
          <w:color w:val="000000" w:themeColor="text1"/>
          <w:sz w:val="22"/>
          <w:szCs w:val="22"/>
        </w:rPr>
        <w:t xml:space="preserve"> as well as the overlap of the COVID</w:t>
      </w:r>
      <w:r w:rsidR="006152C0" w:rsidRPr="00356E9C">
        <w:rPr>
          <w:color w:val="000000" w:themeColor="text1"/>
          <w:sz w:val="22"/>
          <w:szCs w:val="22"/>
        </w:rPr>
        <w:t>-</w:t>
      </w:r>
      <w:r w:rsidR="0043473F" w:rsidRPr="00356E9C">
        <w:rPr>
          <w:color w:val="000000" w:themeColor="text1"/>
          <w:sz w:val="22"/>
          <w:szCs w:val="22"/>
        </w:rPr>
        <w:t>19 peak cases in March 2020</w:t>
      </w:r>
      <w:r w:rsidR="007036FC">
        <w:rPr>
          <w:color w:val="000000" w:themeColor="text1"/>
          <w:sz w:val="22"/>
          <w:szCs w:val="22"/>
        </w:rPr>
        <w:t>,</w:t>
      </w:r>
      <w:r w:rsidR="0043473F" w:rsidRPr="00356E9C">
        <w:rPr>
          <w:color w:val="000000" w:themeColor="text1"/>
          <w:sz w:val="22"/>
          <w:szCs w:val="22"/>
        </w:rPr>
        <w:t xml:space="preserve">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We conduct</w:t>
      </w:r>
      <w:r w:rsidR="007036FC">
        <w:rPr>
          <w:color w:val="000000" w:themeColor="text1"/>
          <w:sz w:val="22"/>
          <w:szCs w:val="22"/>
        </w:rPr>
        <w:t>ed</w:t>
      </w:r>
      <w:r w:rsidR="00C240C3" w:rsidRPr="00356E9C">
        <w:rPr>
          <w:color w:val="000000" w:themeColor="text1"/>
          <w:sz w:val="22"/>
          <w:szCs w:val="22"/>
        </w:rPr>
        <w:t xml:space="preserve"> parameter </w:t>
      </w:r>
      <w:r w:rsidR="007036FC">
        <w:rPr>
          <w:color w:val="000000" w:themeColor="text1"/>
          <w:sz w:val="22"/>
          <w:szCs w:val="22"/>
        </w:rPr>
        <w:t>inference</w:t>
      </w:r>
      <w:r w:rsidR="007036FC" w:rsidRPr="00356E9C">
        <w:rPr>
          <w:color w:val="000000" w:themeColor="text1"/>
          <w:sz w:val="22"/>
          <w:szCs w:val="22"/>
        </w:rPr>
        <w:t xml:space="preserve"> </w:t>
      </w:r>
      <w:r w:rsidR="00C240C3" w:rsidRPr="00356E9C">
        <w:rPr>
          <w:color w:val="000000" w:themeColor="text1"/>
          <w:sz w:val="22"/>
          <w:szCs w:val="22"/>
        </w:rPr>
        <w:t xml:space="preserve">by </w:t>
      </w:r>
      <w:r w:rsidR="007036FC">
        <w:rPr>
          <w:color w:val="000000" w:themeColor="text1"/>
          <w:sz w:val="22"/>
          <w:szCs w:val="22"/>
        </w:rPr>
        <w:t>not assimilating</w:t>
      </w:r>
      <w:r w:rsidR="007036FC" w:rsidRPr="00356E9C">
        <w:rPr>
          <w:color w:val="000000" w:themeColor="text1"/>
          <w:sz w:val="22"/>
          <w:szCs w:val="22"/>
        </w:rPr>
        <w:t xml:space="preserve"> </w:t>
      </w:r>
      <w:r w:rsidR="007036FC">
        <w:rPr>
          <w:color w:val="000000" w:themeColor="text1"/>
          <w:sz w:val="22"/>
          <w:szCs w:val="22"/>
        </w:rPr>
        <w:t>data prior to</w:t>
      </w:r>
      <w:r w:rsidR="00C240C3" w:rsidRPr="00356E9C">
        <w:rPr>
          <w:color w:val="000000" w:themeColor="text1"/>
          <w:sz w:val="22"/>
          <w:szCs w:val="22"/>
        </w:rPr>
        <w:t xml:space="preserve"> </w:t>
      </w:r>
      <w:r w:rsidR="00C240C3">
        <w:rPr>
          <w:color w:val="000000" w:themeColor="text1"/>
          <w:sz w:val="22"/>
          <w:szCs w:val="22"/>
        </w:rPr>
        <w:t>May 24 of 2020, removing as m</w:t>
      </w:r>
      <w:r w:rsidR="00E63BAD">
        <w:rPr>
          <w:rFonts w:hint="eastAsia"/>
          <w:color w:val="000000" w:themeColor="text1"/>
          <w:sz w:val="22"/>
          <w:szCs w:val="22"/>
          <w:lang w:eastAsia="zh-CN"/>
        </w:rPr>
        <w:t>any</w:t>
      </w:r>
      <w:r w:rsidR="00C240C3">
        <w:rPr>
          <w:color w:val="000000" w:themeColor="text1"/>
          <w:sz w:val="22"/>
          <w:szCs w:val="22"/>
        </w:rPr>
        <w:t xml:space="preserve"> as </w:t>
      </w:r>
      <w:r w:rsidR="00C240C3" w:rsidRPr="00356E9C">
        <w:rPr>
          <w:color w:val="000000" w:themeColor="text1"/>
          <w:sz w:val="22"/>
          <w:szCs w:val="22"/>
        </w:rPr>
        <w:t>16 weeks</w:t>
      </w:r>
      <w:r w:rsidR="00C240C3">
        <w:rPr>
          <w:color w:val="000000" w:themeColor="text1"/>
          <w:sz w:val="22"/>
          <w:szCs w:val="22"/>
        </w:rPr>
        <w:t xml:space="preserve">. We </w:t>
      </w:r>
      <w:r w:rsidR="000C6575">
        <w:rPr>
          <w:color w:val="000000" w:themeColor="text1"/>
          <w:sz w:val="22"/>
          <w:szCs w:val="22"/>
        </w:rPr>
        <w:t>examined the results when omitting the first 0, 2, 4,…, 16 weeks</w:t>
      </w:r>
      <w:r w:rsidR="00C240C3">
        <w:rPr>
          <w:color w:val="000000" w:themeColor="text1"/>
          <w:sz w:val="22"/>
          <w:szCs w:val="22"/>
        </w:rPr>
        <w:t>.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peak</w:t>
      </w:r>
      <w:r w:rsidR="00EC7A84">
        <w:rPr>
          <w:color w:val="000000" w:themeColor="text1"/>
          <w:sz w:val="22"/>
          <w:szCs w:val="22"/>
        </w:rPr>
        <w:t xml:space="preserve"> </w:t>
      </w:r>
      <w:r w:rsidR="000C6575">
        <w:rPr>
          <w:color w:val="000000" w:themeColor="text1"/>
          <w:sz w:val="22"/>
          <w:szCs w:val="22"/>
        </w:rPr>
        <w:t xml:space="preserve">of </w:t>
      </w:r>
      <w:r w:rsidR="000C6575" w:rsidRPr="00356E9C">
        <w:rPr>
          <w:color w:val="000000" w:themeColor="text1"/>
          <w:sz w:val="22"/>
          <w:szCs w:val="22"/>
        </w:rPr>
        <w:t>COVID</w:t>
      </w:r>
      <w:r w:rsidR="000C6575">
        <w:rPr>
          <w:color w:val="000000" w:themeColor="text1"/>
          <w:sz w:val="22"/>
          <w:szCs w:val="22"/>
        </w:rPr>
        <w:t>-</w:t>
      </w:r>
      <w:r w:rsidR="000C6575" w:rsidRPr="00356E9C">
        <w:rPr>
          <w:color w:val="000000" w:themeColor="text1"/>
          <w:sz w:val="22"/>
          <w:szCs w:val="22"/>
        </w:rPr>
        <w:t xml:space="preserve">19 </w:t>
      </w:r>
      <w:r w:rsidR="00EC7A84">
        <w:rPr>
          <w:color w:val="000000" w:themeColor="text1"/>
          <w:sz w:val="22"/>
          <w:szCs w:val="22"/>
        </w:rPr>
        <w:t>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w:t>
      </w:r>
      <w:r w:rsidR="00F27A11">
        <w:rPr>
          <w:color w:val="00B0F0"/>
          <w:sz w:val="22"/>
          <w:szCs w:val="22"/>
        </w:rPr>
        <w:t>4</w:t>
      </w:r>
      <w:r w:rsidR="00FC07A9" w:rsidRPr="00A6782C">
        <w:rPr>
          <w:color w:val="000000" w:themeColor="text1"/>
          <w:sz w:val="22"/>
          <w:szCs w:val="22"/>
        </w:rPr>
        <w:t>,</w:t>
      </w:r>
      <w:r w:rsidR="00C240C3" w:rsidRPr="00A6782C">
        <w:rPr>
          <w:color w:val="000000" w:themeColor="text1"/>
          <w:sz w:val="22"/>
          <w:szCs w:val="22"/>
        </w:rPr>
        <w:t xml:space="preserve"> we present </w:t>
      </w:r>
      <w:r w:rsidR="00C240C3" w:rsidRPr="00356E9C">
        <w:rPr>
          <w:color w:val="000000" w:themeColor="text1"/>
          <w:sz w:val="22"/>
          <w:szCs w:val="22"/>
        </w:rPr>
        <w:t xml:space="preserve">the clinical culture data and </w:t>
      </w:r>
      <w:r w:rsidR="00C240C3">
        <w:rPr>
          <w:color w:val="000000" w:themeColor="text1"/>
          <w:sz w:val="22"/>
          <w:szCs w:val="22"/>
        </w:rPr>
        <w:t xml:space="preserve">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w:t>
      </w:r>
      <w:r w:rsidR="00357AC2">
        <w:rPr>
          <w:color w:val="000000" w:themeColor="text1"/>
          <w:sz w:val="22"/>
          <w:szCs w:val="22"/>
        </w:rPr>
        <w:t>and</w:t>
      </w:r>
      <w:r w:rsidR="00FC07A9">
        <w:rPr>
          <w:color w:val="000000" w:themeColor="text1"/>
          <w:sz w:val="22"/>
          <w:szCs w:val="22"/>
        </w:rPr>
        <w:t>,</w:t>
      </w:r>
      <w:r w:rsidR="00357AC2">
        <w:rPr>
          <w:color w:val="000000" w:themeColor="text1"/>
          <w:sz w:val="22"/>
          <w:szCs w:val="22"/>
        </w:rPr>
        <w:t xml:space="preserve"> thus</w:t>
      </w:r>
      <w:r w:rsidR="00FC07A9">
        <w:rPr>
          <w:color w:val="000000" w:themeColor="text1"/>
          <w:sz w:val="22"/>
          <w:szCs w:val="22"/>
        </w:rPr>
        <w:t>,</w:t>
      </w:r>
      <w:r w:rsidR="00357AC2">
        <w:rPr>
          <w:color w:val="000000" w:themeColor="text1"/>
          <w:sz w:val="22"/>
          <w:szCs w:val="22"/>
        </w:rPr>
        <w:t xml:space="preserve"> the data used</w:t>
      </w:r>
      <w:r w:rsidR="00C240C3" w:rsidRPr="00356E9C">
        <w:rPr>
          <w:color w:val="000000" w:themeColor="text1"/>
          <w:sz w:val="22"/>
          <w:szCs w:val="22"/>
        </w:rPr>
        <w:t xml:space="preserve"> to inform the new inference</w:t>
      </w:r>
      <w:r w:rsidR="000C6575">
        <w:rPr>
          <w:color w:val="000000" w:themeColor="text1"/>
          <w:sz w:val="22"/>
          <w:szCs w:val="22"/>
        </w:rPr>
        <w:t xml:space="preserve"> </w:t>
      </w:r>
      <w:r w:rsidR="000C6575">
        <w:rPr>
          <w:color w:val="000000" w:themeColor="text1"/>
          <w:sz w:val="22"/>
          <w:szCs w:val="22"/>
        </w:rPr>
        <w:lastRenderedPageBreak/>
        <w:t>testing</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We include the hospitalization due to COVID</w:t>
      </w:r>
      <w:r w:rsidR="000C6575">
        <w:rPr>
          <w:color w:val="000000" w:themeColor="text1"/>
          <w:sz w:val="22"/>
          <w:szCs w:val="22"/>
        </w:rPr>
        <w:t>-</w:t>
      </w:r>
      <w:r w:rsidR="00FE071F">
        <w:rPr>
          <w:color w:val="000000" w:themeColor="text1"/>
          <w:sz w:val="22"/>
          <w:szCs w:val="22"/>
        </w:rPr>
        <w:t xml:space="preserve">19 as well as the 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36686709" w14:textId="2CB4E29D" w:rsidR="00FA17A0" w:rsidRDefault="00051C68" w:rsidP="000C6575">
      <w:pPr>
        <w:rPr>
          <w:color w:val="000000" w:themeColor="text1"/>
          <w:sz w:val="22"/>
          <w:szCs w:val="22"/>
        </w:rPr>
      </w:pPr>
      <w:r>
        <w:rPr>
          <w:color w:val="000000" w:themeColor="text1"/>
          <w:sz w:val="22"/>
          <w:szCs w:val="22"/>
        </w:rPr>
        <w:tab/>
      </w:r>
      <w:r w:rsidR="00F67A78">
        <w:rPr>
          <w:color w:val="000000" w:themeColor="text1"/>
          <w:sz w:val="22"/>
          <w:szCs w:val="22"/>
        </w:rPr>
        <w:t xml:space="preserve">To investigate the impact of </w:t>
      </w:r>
      <w:r w:rsidR="000C6575">
        <w:rPr>
          <w:color w:val="000000" w:themeColor="text1"/>
          <w:sz w:val="22"/>
          <w:szCs w:val="22"/>
        </w:rPr>
        <w:t xml:space="preserve">the </w:t>
      </w:r>
      <w:r w:rsidR="00F67A78">
        <w:rPr>
          <w:color w:val="000000" w:themeColor="text1"/>
          <w:sz w:val="22"/>
          <w:szCs w:val="22"/>
        </w:rPr>
        <w:t>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t>
      </w:r>
      <w:r w:rsidR="000C6575">
        <w:rPr>
          <w:color w:val="000000" w:themeColor="text1"/>
          <w:sz w:val="22"/>
          <w:szCs w:val="22"/>
        </w:rPr>
        <w:t xml:space="preserve">using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Figure</w:t>
      </w:r>
      <w:r w:rsidR="000C6575">
        <w:rPr>
          <w:color w:val="00B0F0"/>
          <w:sz w:val="22"/>
          <w:szCs w:val="22"/>
        </w:rPr>
        <w:t>s</w:t>
      </w:r>
      <w:r w:rsidR="00196EBE" w:rsidRPr="00872C1E">
        <w:rPr>
          <w:color w:val="00B0F0"/>
          <w:sz w:val="22"/>
          <w:szCs w:val="22"/>
        </w:rPr>
        <w:t xml:space="preserve"> </w:t>
      </w:r>
      <w:r w:rsidR="00593758">
        <w:rPr>
          <w:color w:val="00B0F0"/>
          <w:sz w:val="22"/>
          <w:szCs w:val="22"/>
        </w:rPr>
        <w:t>R</w:t>
      </w:r>
      <w:r w:rsidR="00A6782C">
        <w:rPr>
          <w:color w:val="00B0F0"/>
          <w:sz w:val="22"/>
          <w:szCs w:val="22"/>
        </w:rPr>
        <w:t>5</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the </w:t>
      </w:r>
      <w:r w:rsidR="000C6575">
        <w:rPr>
          <w:color w:val="000000" w:themeColor="text1"/>
          <w:sz w:val="22"/>
          <w:szCs w:val="22"/>
        </w:rPr>
        <w:t xml:space="preserve">entire </w:t>
      </w:r>
      <w:r w:rsidR="001F1903">
        <w:rPr>
          <w:color w:val="000000" w:themeColor="text1"/>
          <w:sz w:val="22"/>
          <w:szCs w:val="22"/>
        </w:rPr>
        <w:t xml:space="preserve">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w:t>
      </w:r>
      <w:r w:rsidR="000C6575">
        <w:rPr>
          <w:color w:val="000000" w:themeColor="text1"/>
          <w:sz w:val="22"/>
          <w:szCs w:val="22"/>
        </w:rPr>
        <w:t>,</w:t>
      </w:r>
      <w:r w:rsidR="007F7C90">
        <w:rPr>
          <w:color w:val="000000" w:themeColor="text1"/>
          <w:sz w:val="22"/>
          <w:szCs w:val="22"/>
        </w:rPr>
        <w:t xml:space="preserve"> respectively.</w:t>
      </w:r>
      <w:r w:rsidR="008E10D8">
        <w:rPr>
          <w:color w:val="000000" w:themeColor="text1"/>
          <w:sz w:val="22"/>
          <w:szCs w:val="22"/>
        </w:rPr>
        <w:t xml:space="preserve"> </w:t>
      </w:r>
      <w:r w:rsidR="000C6575">
        <w:rPr>
          <w:color w:val="000000" w:themeColor="text1"/>
          <w:sz w:val="22"/>
          <w:szCs w:val="22"/>
        </w:rPr>
        <w:t>For</w:t>
      </w:r>
      <w:r w:rsidR="00CD7A81">
        <w:rPr>
          <w:color w:val="000000" w:themeColor="text1"/>
          <w:sz w:val="22"/>
          <w:szCs w:val="22"/>
        </w:rPr>
        <w:t xml:space="preserve">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FD5A10">
        <w:rPr>
          <w:color w:val="000000" w:themeColor="text1"/>
          <w:sz w:val="22"/>
          <w:szCs w:val="22"/>
        </w:rPr>
        <w:t>.</w:t>
      </w:r>
      <w:r w:rsidR="00FC69DF">
        <w:rPr>
          <w:color w:val="000000" w:themeColor="text1"/>
          <w:sz w:val="22"/>
          <w:szCs w:val="22"/>
        </w:rPr>
        <w:t xml:space="preserve"> </w:t>
      </w:r>
      <w:r w:rsidR="0013475E">
        <w:rPr>
          <w:color w:val="000000" w:themeColor="text1"/>
          <w:sz w:val="22"/>
          <w:szCs w:val="22"/>
        </w:rPr>
        <w:t>In the first row of each Figure in Figure R5 we</w:t>
      </w:r>
      <w:r w:rsidR="000E77B7">
        <w:rPr>
          <w:color w:val="000000" w:themeColor="text1"/>
          <w:sz w:val="22"/>
          <w:szCs w:val="22"/>
        </w:rPr>
        <w:t xml:space="preserve"> first </w:t>
      </w:r>
      <w:r w:rsidR="002D3460">
        <w:rPr>
          <w:color w:val="000000" w:themeColor="text1"/>
          <w:sz w:val="22"/>
          <w:szCs w:val="22"/>
        </w:rPr>
        <w:t xml:space="preserve">present the </w:t>
      </w:r>
      <w:commentRangeStart w:id="15"/>
      <w:commentRangeStart w:id="16"/>
      <w:r w:rsidR="002D3460">
        <w:rPr>
          <w:color w:val="000000" w:themeColor="text1"/>
          <w:sz w:val="22"/>
          <w:szCs w:val="22"/>
        </w:rPr>
        <w:t xml:space="preserve">results </w:t>
      </w:r>
      <w:commentRangeEnd w:id="15"/>
      <w:r w:rsidR="000F0203">
        <w:rPr>
          <w:rStyle w:val="CommentReference"/>
        </w:rPr>
        <w:commentReference w:id="15"/>
      </w:r>
      <w:commentRangeEnd w:id="16"/>
      <w:r w:rsidR="000C6575">
        <w:rPr>
          <w:rStyle w:val="CommentReference"/>
        </w:rPr>
        <w:commentReference w:id="16"/>
      </w:r>
      <w:r w:rsidR="002D3460">
        <w:rPr>
          <w:color w:val="000000" w:themeColor="text1"/>
          <w:sz w:val="22"/>
          <w:szCs w:val="22"/>
        </w:rPr>
        <w:t>for</w:t>
      </w:r>
      <w:r w:rsidR="000E77B7">
        <w:rPr>
          <w:color w:val="000000" w:themeColor="text1"/>
          <w:sz w:val="22"/>
          <w:szCs w:val="22"/>
        </w:rPr>
        <w:t xml:space="preserve"> the </w:t>
      </w:r>
      <w:r w:rsidR="002D3460">
        <w:rPr>
          <w:color w:val="000000" w:themeColor="text1"/>
          <w:sz w:val="22"/>
          <w:szCs w:val="22"/>
        </w:rPr>
        <w:t xml:space="preserve">changes in </w:t>
      </w:r>
      <w:r w:rsidR="00AF29DD">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13475E">
        <w:rPr>
          <w:color w:val="000000" w:themeColor="text1"/>
          <w:sz w:val="22"/>
          <w:szCs w:val="22"/>
        </w:rPr>
        <w:t xml:space="preserve"> and then </w:t>
      </w:r>
      <w:r w:rsidR="0013475E">
        <w:rPr>
          <w:color w:val="000000" w:themeColor="text1"/>
          <w:sz w:val="22"/>
          <w:szCs w:val="22"/>
        </w:rPr>
        <w:t>th</w:t>
      </w:r>
      <w:r w:rsidR="0013475E">
        <w:rPr>
          <w:color w:val="000000" w:themeColor="text1"/>
          <w:sz w:val="22"/>
          <w:szCs w:val="22"/>
        </w:rPr>
        <w:t>ose of the</w:t>
      </w:r>
      <w:r w:rsidR="0013475E">
        <w:rPr>
          <w:color w:val="000000" w:themeColor="text1"/>
          <w:sz w:val="22"/>
          <w:szCs w:val="22"/>
        </w:rPr>
        <w:t xml:space="preserve"> effective sensitivity </w:t>
      </w:r>
      <m:oMath>
        <m:r>
          <w:rPr>
            <w:rFonts w:ascii="Cambria Math" w:hAnsi="Cambria Math"/>
            <w:color w:val="000000" w:themeColor="text1"/>
            <w:sz w:val="22"/>
            <w:szCs w:val="22"/>
          </w:rPr>
          <m:t>ρ</m:t>
        </m:r>
      </m:oMath>
      <w:r w:rsidR="0013475E">
        <w:rPr>
          <w:color w:val="000000" w:themeColor="text1"/>
          <w:sz w:val="22"/>
          <w:szCs w:val="22"/>
        </w:rPr>
        <w:t>.</w:t>
      </w:r>
    </w:p>
    <w:p w14:paraId="77DC551A" w14:textId="77777777" w:rsidR="00B97471" w:rsidRDefault="00B97471"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i, Sen" w:date="2024-09-14T21:50:00Z" w:initials="SP">
    <w:p w14:paraId="027F4210" w14:textId="77777777" w:rsidR="007C1EFD" w:rsidRDefault="007C1EFD" w:rsidP="007C1EFD">
      <w:r>
        <w:rPr>
          <w:rStyle w:val="CommentReference"/>
        </w:rPr>
        <w:annotationRef/>
      </w:r>
      <w:r>
        <w:rPr>
          <w:color w:val="000000"/>
          <w:sz w:val="20"/>
          <w:szCs w:val="20"/>
        </w:rPr>
        <w:t>This new analysis should be put in SM, and mentioned in the main text briefly using one or two sentences.</w:t>
      </w:r>
    </w:p>
  </w:comment>
  <w:comment w:id="1" w:author="Cascante Vega, Jaime E." w:date="2024-09-15T21:56:00Z" w:initials="JC">
    <w:p w14:paraId="4EDDDEED" w14:textId="77777777" w:rsidR="00B10209" w:rsidRDefault="00B10209" w:rsidP="00B10209">
      <w:r>
        <w:rPr>
          <w:rStyle w:val="CommentReference"/>
        </w:rPr>
        <w:annotationRef/>
      </w:r>
      <w:r>
        <w:rPr>
          <w:color w:val="000000"/>
          <w:sz w:val="20"/>
          <w:szCs w:val="20"/>
        </w:rPr>
        <w:t>I included a sections at the end of the SM</w:t>
      </w:r>
    </w:p>
  </w:comment>
  <w:comment w:id="2" w:author="Shaman, Jeffrey L." w:date="2024-09-16T14:43:00Z" w:initials="JS">
    <w:p w14:paraId="5DE36D68" w14:textId="77777777" w:rsidR="00037F64" w:rsidRDefault="00037F64" w:rsidP="00037F64">
      <w:r>
        <w:rPr>
          <w:rStyle w:val="CommentReference"/>
        </w:rPr>
        <w:annotationRef/>
      </w:r>
      <w:r>
        <w:rPr>
          <w:color w:val="000000"/>
          <w:sz w:val="20"/>
          <w:szCs w:val="20"/>
        </w:rPr>
        <w:t>Jaime, I don’t understand this sentence.  I’m not sure what you mean or did.</w:t>
      </w:r>
    </w:p>
  </w:comment>
  <w:comment w:id="3" w:author="Shaman, Jeffrey L." w:date="2024-08-29T15:44:00Z" w:initials="JS">
    <w:p w14:paraId="00FC089F" w14:textId="65594713" w:rsidR="00DE5008" w:rsidRDefault="00DE5008" w:rsidP="00DE5008">
      <w:r>
        <w:rPr>
          <w:rStyle w:val="CommentReference"/>
        </w:rPr>
        <w:annotationRef/>
      </w:r>
      <w:r>
        <w:rPr>
          <w:color w:val="000000"/>
          <w:sz w:val="20"/>
          <w:szCs w:val="20"/>
        </w:rPr>
        <w:t>Did you get the PDF?</w:t>
      </w:r>
    </w:p>
  </w:comment>
  <w:comment w:id="4" w:author="Shaman, Jeffrey L." w:date="2024-09-18T15:46:00Z" w:initials="JS">
    <w:p w14:paraId="40C94886" w14:textId="77777777" w:rsidR="009C1B7C" w:rsidRDefault="009C1B7C" w:rsidP="009C1B7C">
      <w:r>
        <w:rPr>
          <w:rStyle w:val="CommentReference"/>
        </w:rPr>
        <w:annotationRef/>
      </w:r>
      <w:r>
        <w:rPr>
          <w:color w:val="000000"/>
          <w:sz w:val="20"/>
          <w:szCs w:val="20"/>
        </w:rPr>
        <w:t>0.05, correct?</w:t>
      </w:r>
    </w:p>
  </w:comment>
  <w:comment w:id="5" w:author="Pei, Sen" w:date="2024-09-14T21:56:00Z" w:initials="SP">
    <w:p w14:paraId="1529F3F9" w14:textId="2C63083C" w:rsidR="00094B69" w:rsidRDefault="00094B69" w:rsidP="00094B69">
      <w:r>
        <w:rPr>
          <w:rStyle w:val="CommentReference"/>
        </w:rPr>
        <w:annotationRef/>
      </w:r>
      <w:r>
        <w:rPr>
          <w:color w:val="000000"/>
          <w:sz w:val="20"/>
          <w:szCs w:val="20"/>
        </w:rPr>
        <w:t>This figure can be put in SM.</w:t>
      </w:r>
    </w:p>
  </w:comment>
  <w:comment w:id="6" w:author="Cascante Vega, Jaime E." w:date="2024-09-15T21:55:00Z" w:initials="JC">
    <w:p w14:paraId="732D66C2" w14:textId="77777777" w:rsidR="00094D00" w:rsidRDefault="00094D00" w:rsidP="00094D00">
      <w:r>
        <w:rPr>
          <w:rStyle w:val="CommentReference"/>
        </w:rPr>
        <w:annotationRef/>
      </w:r>
      <w:r>
        <w:rPr>
          <w:color w:val="000000"/>
          <w:sz w:val="20"/>
          <w:szCs w:val="20"/>
        </w:rPr>
        <w:t>done</w:t>
      </w:r>
    </w:p>
  </w:comment>
  <w:comment w:id="8" w:author="Pei, Sen" w:date="2024-09-14T21:57:00Z" w:initials="SP">
    <w:p w14:paraId="24E4EB42" w14:textId="57CE3C17" w:rsidR="00094B69" w:rsidRDefault="00094B69" w:rsidP="00094B69">
      <w:r>
        <w:rPr>
          <w:rStyle w:val="CommentReference"/>
        </w:rPr>
        <w:annotationRef/>
      </w:r>
      <w:r>
        <w:rPr>
          <w:color w:val="000000"/>
          <w:sz w:val="20"/>
          <w:szCs w:val="20"/>
        </w:rPr>
        <w:t>Can put in SM.</w:t>
      </w:r>
    </w:p>
  </w:comment>
  <w:comment w:id="9" w:author="Cascante Vega, Jaime E." w:date="2024-09-15T21:55:00Z" w:initials="JC">
    <w:p w14:paraId="05C82280" w14:textId="77777777" w:rsidR="00094D00" w:rsidRDefault="00094D00" w:rsidP="00094D00">
      <w:r>
        <w:rPr>
          <w:rStyle w:val="CommentReference"/>
        </w:rPr>
        <w:annotationRef/>
      </w:r>
      <w:r>
        <w:rPr>
          <w:color w:val="000000"/>
          <w:sz w:val="20"/>
          <w:szCs w:val="20"/>
        </w:rPr>
        <w:t>done</w:t>
      </w:r>
    </w:p>
  </w:comment>
  <w:comment w:id="10" w:author="Shaman, Jeffrey L." w:date="2024-09-05T13:18:00Z" w:initials="JS">
    <w:p w14:paraId="772FDB34" w14:textId="0923F85D" w:rsidR="00A54DAB" w:rsidRDefault="00A54DAB" w:rsidP="00A54DAB">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11" w:author="Cascante Vega, Jaime E." w:date="2024-09-13T12:53:00Z" w:initials="JC">
    <w:p w14:paraId="67972B26" w14:textId="77777777" w:rsidR="00636466" w:rsidRDefault="00636466" w:rsidP="00636466">
      <w:r>
        <w:rPr>
          <w:rStyle w:val="CommentReference"/>
        </w:rPr>
        <w:annotationRef/>
      </w:r>
      <w:r>
        <w:rPr>
          <w:sz w:val="20"/>
          <w:szCs w:val="20"/>
        </w:rPr>
        <w:t>I removed Figure R2, pruned the results and also resumed the conclusion in a couple sentences.</w:t>
      </w:r>
    </w:p>
  </w:comment>
  <w:comment w:id="12" w:author="Cascante Vega, Jaime E." w:date="2024-09-13T12:54:00Z" w:initials="JC">
    <w:p w14:paraId="7FF0FAC5" w14:textId="77777777" w:rsidR="00116E6F" w:rsidRDefault="001B316E" w:rsidP="00116E6F">
      <w:r>
        <w:rPr>
          <w:rStyle w:val="CommentReference"/>
        </w:rPr>
        <w:annotationRef/>
      </w:r>
      <w:r w:rsidR="00116E6F">
        <w:rPr>
          <w:sz w:val="20"/>
          <w:szCs w:val="20"/>
        </w:rPr>
        <w:t>I included a Table, Table R1, with the r^2</w:t>
      </w:r>
    </w:p>
  </w:comment>
  <w:comment w:id="13" w:author="Shaman, Jeffrey L." w:date="2024-09-18T15:52:00Z" w:initials="JS">
    <w:p w14:paraId="3DC86A4F" w14:textId="77777777" w:rsidR="009C1B7C" w:rsidRDefault="009C1B7C" w:rsidP="009C1B7C">
      <w:r>
        <w:rPr>
          <w:rStyle w:val="CommentReference"/>
        </w:rPr>
        <w:annotationRef/>
      </w:r>
      <w:r>
        <w:rPr>
          <w:color w:val="000000"/>
          <w:sz w:val="20"/>
          <w:szCs w:val="20"/>
        </w:rPr>
        <w:t>I don’t think the table tells the story.  Because I don’t think linear correlation tells the story.  I think the figure (R1) speaks for itself and shows that for most species, save for \beta for the 2 Enterococcus sp., the results are stable over a broad range of values.</w:t>
      </w:r>
    </w:p>
  </w:comment>
  <w:comment w:id="7" w:author="Shaman, Jeffrey L." w:date="2024-09-18T15:55:00Z" w:initials="JS">
    <w:p w14:paraId="1A329BE7" w14:textId="77777777" w:rsidR="00137137" w:rsidRDefault="00137137" w:rsidP="00137137">
      <w:r>
        <w:rPr>
          <w:rStyle w:val="CommentReference"/>
        </w:rPr>
        <w:annotationRef/>
      </w:r>
      <w:r>
        <w:rPr>
          <w:color w:val="000000"/>
          <w:sz w:val="20"/>
          <w:szCs w:val="20"/>
        </w:rPr>
        <w:t>I would delete all this and instead simply interpret Figure R1.  The values are similar over a broad range for all species, except for \beta for E. Faecalis and E faecium.  The rest are stable for a broad range of values (even E. Coli, except for low importation rates).</w:t>
      </w:r>
    </w:p>
  </w:comment>
  <w:comment w:id="14" w:author="Pei, Sen" w:date="2024-09-14T22:01:00Z" w:initials="SP">
    <w:p w14:paraId="00F12EA7" w14:textId="0663B3CE" w:rsidR="00094B69" w:rsidRDefault="00094B69" w:rsidP="00094B69">
      <w:r>
        <w:rPr>
          <w:rStyle w:val="CommentReference"/>
        </w:rPr>
        <w:annotationRef/>
      </w:r>
      <w:r>
        <w:rPr>
          <w:color w:val="000000"/>
          <w:sz w:val="20"/>
          <w:szCs w:val="20"/>
        </w:rPr>
        <w:t>Fig. R2 and R3 can be put in SM.</w:t>
      </w:r>
    </w:p>
  </w:comment>
  <w:comment w:id="15" w:author="Pei, Sen" w:date="2024-09-14T22:35:00Z" w:initials="SP">
    <w:p w14:paraId="62E1D08C" w14:textId="77777777" w:rsidR="000F0203" w:rsidRDefault="000F0203" w:rsidP="000F0203">
      <w:r>
        <w:rPr>
          <w:rStyle w:val="CommentReference"/>
        </w:rPr>
        <w:annotationRef/>
      </w:r>
      <w:r>
        <w:rPr>
          <w:color w:val="000000"/>
          <w:sz w:val="20"/>
          <w:szCs w:val="20"/>
        </w:rPr>
        <w:t>The results you presented below are too detailed. For a review response, you only need to briefly summarize the findings. You can say most of the estimates are similar to the estimates using all data, except for MRSA and MSSA. Then you can point to Fig. R5. Currently, the response is too long compared to other responses. And it may cause confusions for the reviewer who may not be very familiar with the techniques. I think you should be more concise and let the reviewer look at your figure.</w:t>
      </w:r>
    </w:p>
  </w:comment>
  <w:comment w:id="16" w:author="Shaman, Jeffrey L." w:date="2024-09-18T16:08:00Z" w:initials="JS">
    <w:p w14:paraId="20301ECA" w14:textId="77777777" w:rsidR="000C6575" w:rsidRDefault="000C6575" w:rsidP="000C6575">
      <w:r>
        <w:rPr>
          <w:rStyle w:val="CommentReference"/>
        </w:rPr>
        <w:annotationRef/>
      </w:r>
      <w:r>
        <w:rPr>
          <w:color w:val="000000"/>
          <w:sz w:val="20"/>
          <w:szCs w:val="20"/>
        </w:rPr>
        <w:t>I agree with 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7F4210" w15:done="0"/>
  <w15:commentEx w15:paraId="4EDDDEED" w15:paraIdParent="027F4210" w15:done="0"/>
  <w15:commentEx w15:paraId="5DE36D68" w15:done="0"/>
  <w15:commentEx w15:paraId="00FC089F" w15:done="0"/>
  <w15:commentEx w15:paraId="40C94886" w15:done="0"/>
  <w15:commentEx w15:paraId="1529F3F9" w15:done="0"/>
  <w15:commentEx w15:paraId="732D66C2" w15:paraIdParent="1529F3F9" w15:done="0"/>
  <w15:commentEx w15:paraId="24E4EB42" w15:done="0"/>
  <w15:commentEx w15:paraId="05C82280" w15:paraIdParent="24E4EB42" w15:done="0"/>
  <w15:commentEx w15:paraId="772FDB34" w15:done="0"/>
  <w15:commentEx w15:paraId="67972B26" w15:paraIdParent="772FDB34" w15:done="0"/>
  <w15:commentEx w15:paraId="7FF0FAC5" w15:paraIdParent="772FDB34" w15:done="0"/>
  <w15:commentEx w15:paraId="3DC86A4F" w15:paraIdParent="772FDB34" w15:done="0"/>
  <w15:commentEx w15:paraId="1A329BE7" w15:done="0"/>
  <w15:commentEx w15:paraId="00F12EA7" w15:done="1"/>
  <w15:commentEx w15:paraId="62E1D08C" w15:done="1"/>
  <w15:commentEx w15:paraId="20301ECA" w15:paraIdParent="62E1D0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B0E47" w16cex:dateUtc="2024-09-15T01:50:00Z"/>
  <w16cex:commentExtensible w16cex:durableId="52C4EF22" w16cex:dateUtc="2024-09-16T01:56:00Z"/>
  <w16cex:commentExtensible w16cex:durableId="64729D2B" w16cex:dateUtc="2024-09-16T18:43:00Z"/>
  <w16cex:commentExtensible w16cex:durableId="6DAAE0E3" w16cex:dateUtc="2024-08-29T19:44:00Z"/>
  <w16cex:commentExtensible w16cex:durableId="61BF64C1" w16cex:dateUtc="2024-09-18T19:46:00Z"/>
  <w16cex:commentExtensible w16cex:durableId="7A4CFB75" w16cex:dateUtc="2024-09-15T01:56:00Z"/>
  <w16cex:commentExtensible w16cex:durableId="3230FF53" w16cex:dateUtc="2024-09-16T01:55:00Z"/>
  <w16cex:commentExtensible w16cex:durableId="0A67B8B6" w16cex:dateUtc="2024-09-15T01:57:00Z"/>
  <w16cex:commentExtensible w16cex:durableId="3A9144A6" w16cex:dateUtc="2024-09-16T01:55:00Z"/>
  <w16cex:commentExtensible w16cex:durableId="12695152" w16cex:dateUtc="2024-09-05T17:18:00Z"/>
  <w16cex:commentExtensible w16cex:durableId="33AC92E2" w16cex:dateUtc="2024-09-13T16:53:00Z"/>
  <w16cex:commentExtensible w16cex:durableId="410843A1" w16cex:dateUtc="2024-09-13T16:54:00Z"/>
  <w16cex:commentExtensible w16cex:durableId="1D023DBA" w16cex:dateUtc="2024-09-18T19:52:00Z"/>
  <w16cex:commentExtensible w16cex:durableId="1D65EBF8" w16cex:dateUtc="2024-09-18T19:55:00Z"/>
  <w16cex:commentExtensible w16cex:durableId="38618F37" w16cex:dateUtc="2024-09-15T02:01:00Z"/>
  <w16cex:commentExtensible w16cex:durableId="64DD0047" w16cex:dateUtc="2024-09-15T02:35:00Z"/>
  <w16cex:commentExtensible w16cex:durableId="02E858AA" w16cex:dateUtc="2024-09-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7F4210" w16cid:durableId="2F0B0E47"/>
  <w16cid:commentId w16cid:paraId="4EDDDEED" w16cid:durableId="52C4EF22"/>
  <w16cid:commentId w16cid:paraId="5DE36D68" w16cid:durableId="64729D2B"/>
  <w16cid:commentId w16cid:paraId="00FC089F" w16cid:durableId="6DAAE0E3"/>
  <w16cid:commentId w16cid:paraId="40C94886" w16cid:durableId="61BF64C1"/>
  <w16cid:commentId w16cid:paraId="1529F3F9" w16cid:durableId="7A4CFB75"/>
  <w16cid:commentId w16cid:paraId="732D66C2" w16cid:durableId="3230FF53"/>
  <w16cid:commentId w16cid:paraId="24E4EB42" w16cid:durableId="0A67B8B6"/>
  <w16cid:commentId w16cid:paraId="05C82280" w16cid:durableId="3A9144A6"/>
  <w16cid:commentId w16cid:paraId="772FDB34" w16cid:durableId="12695152"/>
  <w16cid:commentId w16cid:paraId="67972B26" w16cid:durableId="33AC92E2"/>
  <w16cid:commentId w16cid:paraId="7FF0FAC5" w16cid:durableId="410843A1"/>
  <w16cid:commentId w16cid:paraId="3DC86A4F" w16cid:durableId="1D023DBA"/>
  <w16cid:commentId w16cid:paraId="1A329BE7" w16cid:durableId="1D65EBF8"/>
  <w16cid:commentId w16cid:paraId="00F12EA7" w16cid:durableId="38618F37"/>
  <w16cid:commentId w16cid:paraId="62E1D08C" w16cid:durableId="64DD0047"/>
  <w16cid:commentId w16cid:paraId="20301ECA" w16cid:durableId="02E85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31632" w14:textId="77777777" w:rsidR="00B875E3" w:rsidRDefault="00B875E3" w:rsidP="00B629D4">
      <w:pPr>
        <w:spacing w:after="0" w:line="240" w:lineRule="auto"/>
      </w:pPr>
      <w:r>
        <w:separator/>
      </w:r>
    </w:p>
  </w:endnote>
  <w:endnote w:type="continuationSeparator" w:id="0">
    <w:p w14:paraId="73024BB4" w14:textId="77777777" w:rsidR="00B875E3" w:rsidRDefault="00B875E3"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DBFF3" w14:textId="77777777" w:rsidR="00B875E3" w:rsidRDefault="00B875E3" w:rsidP="00B629D4">
      <w:pPr>
        <w:spacing w:after="0" w:line="240" w:lineRule="auto"/>
      </w:pPr>
      <w:r>
        <w:separator/>
      </w:r>
    </w:p>
  </w:footnote>
  <w:footnote w:type="continuationSeparator" w:id="0">
    <w:p w14:paraId="7424E2BD" w14:textId="77777777" w:rsidR="00B875E3" w:rsidRDefault="00B875E3"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rson w15:author="Shaman, Jeffrey L.">
    <w15:presenceInfo w15:providerId="AD" w15:userId="S::jls106@cumc.columbia.edu::af869bbb-0c63-4e57-829a-e2ceb9da3a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5DFB"/>
    <w:rsid w:val="00016B77"/>
    <w:rsid w:val="00017FE5"/>
    <w:rsid w:val="00021096"/>
    <w:rsid w:val="00022967"/>
    <w:rsid w:val="00022B5E"/>
    <w:rsid w:val="00023D5A"/>
    <w:rsid w:val="00024345"/>
    <w:rsid w:val="0002467E"/>
    <w:rsid w:val="00025156"/>
    <w:rsid w:val="0002569C"/>
    <w:rsid w:val="000312D6"/>
    <w:rsid w:val="00032DBC"/>
    <w:rsid w:val="00034370"/>
    <w:rsid w:val="0003518A"/>
    <w:rsid w:val="00035D40"/>
    <w:rsid w:val="00035ECD"/>
    <w:rsid w:val="00036422"/>
    <w:rsid w:val="00037138"/>
    <w:rsid w:val="000376FE"/>
    <w:rsid w:val="00037F64"/>
    <w:rsid w:val="00040BE4"/>
    <w:rsid w:val="00042529"/>
    <w:rsid w:val="000432FF"/>
    <w:rsid w:val="000449E1"/>
    <w:rsid w:val="00045523"/>
    <w:rsid w:val="00051200"/>
    <w:rsid w:val="00051C4E"/>
    <w:rsid w:val="00051C68"/>
    <w:rsid w:val="00051EB4"/>
    <w:rsid w:val="00052C20"/>
    <w:rsid w:val="0005475B"/>
    <w:rsid w:val="00055FE0"/>
    <w:rsid w:val="00057FA3"/>
    <w:rsid w:val="000603A2"/>
    <w:rsid w:val="000604A9"/>
    <w:rsid w:val="00061A50"/>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32D"/>
    <w:rsid w:val="000944E3"/>
    <w:rsid w:val="00094B69"/>
    <w:rsid w:val="00094D00"/>
    <w:rsid w:val="00095071"/>
    <w:rsid w:val="00095122"/>
    <w:rsid w:val="00095BE0"/>
    <w:rsid w:val="000A0423"/>
    <w:rsid w:val="000A0DAC"/>
    <w:rsid w:val="000A294E"/>
    <w:rsid w:val="000A401C"/>
    <w:rsid w:val="000A549D"/>
    <w:rsid w:val="000A62BF"/>
    <w:rsid w:val="000A62D4"/>
    <w:rsid w:val="000A78A0"/>
    <w:rsid w:val="000B1179"/>
    <w:rsid w:val="000B261D"/>
    <w:rsid w:val="000B3363"/>
    <w:rsid w:val="000B45B5"/>
    <w:rsid w:val="000B49D6"/>
    <w:rsid w:val="000B4A3F"/>
    <w:rsid w:val="000B6B85"/>
    <w:rsid w:val="000C0ED4"/>
    <w:rsid w:val="000C1BC1"/>
    <w:rsid w:val="000C263B"/>
    <w:rsid w:val="000C343B"/>
    <w:rsid w:val="000C6245"/>
    <w:rsid w:val="000C6575"/>
    <w:rsid w:val="000D1149"/>
    <w:rsid w:val="000D124E"/>
    <w:rsid w:val="000D21EB"/>
    <w:rsid w:val="000D4A2E"/>
    <w:rsid w:val="000D75FF"/>
    <w:rsid w:val="000E39D6"/>
    <w:rsid w:val="000E4277"/>
    <w:rsid w:val="000E4C7C"/>
    <w:rsid w:val="000E519D"/>
    <w:rsid w:val="000E57E0"/>
    <w:rsid w:val="000E71B9"/>
    <w:rsid w:val="000E77B7"/>
    <w:rsid w:val="000F0203"/>
    <w:rsid w:val="000F1251"/>
    <w:rsid w:val="000F1E53"/>
    <w:rsid w:val="000F26F3"/>
    <w:rsid w:val="000F3D0E"/>
    <w:rsid w:val="000F48EA"/>
    <w:rsid w:val="000F5014"/>
    <w:rsid w:val="000F6118"/>
    <w:rsid w:val="000F63CD"/>
    <w:rsid w:val="000F6BEE"/>
    <w:rsid w:val="000F7073"/>
    <w:rsid w:val="001017DB"/>
    <w:rsid w:val="0010249F"/>
    <w:rsid w:val="00104228"/>
    <w:rsid w:val="00105340"/>
    <w:rsid w:val="001062EE"/>
    <w:rsid w:val="0010789C"/>
    <w:rsid w:val="0011055B"/>
    <w:rsid w:val="0011108A"/>
    <w:rsid w:val="001113AD"/>
    <w:rsid w:val="00112499"/>
    <w:rsid w:val="0011517D"/>
    <w:rsid w:val="001156F4"/>
    <w:rsid w:val="00116966"/>
    <w:rsid w:val="00116E6F"/>
    <w:rsid w:val="00116E92"/>
    <w:rsid w:val="00121C7F"/>
    <w:rsid w:val="00121C9E"/>
    <w:rsid w:val="00123188"/>
    <w:rsid w:val="00123ACA"/>
    <w:rsid w:val="00124B81"/>
    <w:rsid w:val="00125486"/>
    <w:rsid w:val="00125DA1"/>
    <w:rsid w:val="00126528"/>
    <w:rsid w:val="001306AD"/>
    <w:rsid w:val="001309F3"/>
    <w:rsid w:val="00132968"/>
    <w:rsid w:val="001331CF"/>
    <w:rsid w:val="0013475E"/>
    <w:rsid w:val="00136D73"/>
    <w:rsid w:val="00137137"/>
    <w:rsid w:val="00137B5D"/>
    <w:rsid w:val="001400C0"/>
    <w:rsid w:val="00141D8A"/>
    <w:rsid w:val="00144916"/>
    <w:rsid w:val="0014521A"/>
    <w:rsid w:val="0014527F"/>
    <w:rsid w:val="00145D27"/>
    <w:rsid w:val="00146FBB"/>
    <w:rsid w:val="00147078"/>
    <w:rsid w:val="00151364"/>
    <w:rsid w:val="001524CD"/>
    <w:rsid w:val="00155997"/>
    <w:rsid w:val="00156CDA"/>
    <w:rsid w:val="00156F65"/>
    <w:rsid w:val="00157129"/>
    <w:rsid w:val="001577CD"/>
    <w:rsid w:val="00161544"/>
    <w:rsid w:val="0016210E"/>
    <w:rsid w:val="00162834"/>
    <w:rsid w:val="0016584B"/>
    <w:rsid w:val="00166056"/>
    <w:rsid w:val="00166408"/>
    <w:rsid w:val="00166D6C"/>
    <w:rsid w:val="00170133"/>
    <w:rsid w:val="001711BF"/>
    <w:rsid w:val="00173BF0"/>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16E"/>
    <w:rsid w:val="001B3A1A"/>
    <w:rsid w:val="001B5EEB"/>
    <w:rsid w:val="001C0721"/>
    <w:rsid w:val="001C17B5"/>
    <w:rsid w:val="001C2DE3"/>
    <w:rsid w:val="001C4A1A"/>
    <w:rsid w:val="001C51EC"/>
    <w:rsid w:val="001C6264"/>
    <w:rsid w:val="001C7543"/>
    <w:rsid w:val="001D2374"/>
    <w:rsid w:val="001D2F0E"/>
    <w:rsid w:val="001D33C5"/>
    <w:rsid w:val="001D7120"/>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08E6"/>
    <w:rsid w:val="00200B43"/>
    <w:rsid w:val="00201028"/>
    <w:rsid w:val="00201F24"/>
    <w:rsid w:val="00204030"/>
    <w:rsid w:val="002044CF"/>
    <w:rsid w:val="00207B18"/>
    <w:rsid w:val="00207F5B"/>
    <w:rsid w:val="00210016"/>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2DDD"/>
    <w:rsid w:val="002434E3"/>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622"/>
    <w:rsid w:val="00273959"/>
    <w:rsid w:val="002753BD"/>
    <w:rsid w:val="00275468"/>
    <w:rsid w:val="0027701A"/>
    <w:rsid w:val="0027708A"/>
    <w:rsid w:val="002802A7"/>
    <w:rsid w:val="00281AF7"/>
    <w:rsid w:val="00284348"/>
    <w:rsid w:val="002848CA"/>
    <w:rsid w:val="00291F94"/>
    <w:rsid w:val="002920D6"/>
    <w:rsid w:val="002930DB"/>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0B52"/>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7A5"/>
    <w:rsid w:val="002E28EF"/>
    <w:rsid w:val="002E46C4"/>
    <w:rsid w:val="002E53FD"/>
    <w:rsid w:val="002E6043"/>
    <w:rsid w:val="002E6A89"/>
    <w:rsid w:val="002E7E1F"/>
    <w:rsid w:val="002F0BE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1642F"/>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57AC2"/>
    <w:rsid w:val="00362753"/>
    <w:rsid w:val="00362E34"/>
    <w:rsid w:val="003630DC"/>
    <w:rsid w:val="0036374A"/>
    <w:rsid w:val="00363A90"/>
    <w:rsid w:val="00364E0E"/>
    <w:rsid w:val="003732CC"/>
    <w:rsid w:val="0037398A"/>
    <w:rsid w:val="0037489A"/>
    <w:rsid w:val="00374E1B"/>
    <w:rsid w:val="0037669B"/>
    <w:rsid w:val="003776F8"/>
    <w:rsid w:val="00380F78"/>
    <w:rsid w:val="003811ED"/>
    <w:rsid w:val="00382BA0"/>
    <w:rsid w:val="003837B3"/>
    <w:rsid w:val="00385DF9"/>
    <w:rsid w:val="00386A47"/>
    <w:rsid w:val="00386A4F"/>
    <w:rsid w:val="0038711E"/>
    <w:rsid w:val="00394936"/>
    <w:rsid w:val="00396747"/>
    <w:rsid w:val="00397A43"/>
    <w:rsid w:val="003A1547"/>
    <w:rsid w:val="003A209E"/>
    <w:rsid w:val="003A3EF6"/>
    <w:rsid w:val="003A4F26"/>
    <w:rsid w:val="003B0B99"/>
    <w:rsid w:val="003B0BA2"/>
    <w:rsid w:val="003B44DD"/>
    <w:rsid w:val="003B6426"/>
    <w:rsid w:val="003B6527"/>
    <w:rsid w:val="003B7E85"/>
    <w:rsid w:val="003C0A3B"/>
    <w:rsid w:val="003C601F"/>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99"/>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F12"/>
    <w:rsid w:val="00425042"/>
    <w:rsid w:val="00425D00"/>
    <w:rsid w:val="00426104"/>
    <w:rsid w:val="00426765"/>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67F34"/>
    <w:rsid w:val="0047451D"/>
    <w:rsid w:val="0047467E"/>
    <w:rsid w:val="00475A05"/>
    <w:rsid w:val="00475E48"/>
    <w:rsid w:val="00475F9D"/>
    <w:rsid w:val="00480609"/>
    <w:rsid w:val="0048189F"/>
    <w:rsid w:val="00481FA9"/>
    <w:rsid w:val="0048537D"/>
    <w:rsid w:val="0048595E"/>
    <w:rsid w:val="0048600A"/>
    <w:rsid w:val="00487540"/>
    <w:rsid w:val="00487B47"/>
    <w:rsid w:val="00494558"/>
    <w:rsid w:val="00494697"/>
    <w:rsid w:val="00494A4A"/>
    <w:rsid w:val="00494E5A"/>
    <w:rsid w:val="0049522E"/>
    <w:rsid w:val="0049545C"/>
    <w:rsid w:val="00496731"/>
    <w:rsid w:val="0049733F"/>
    <w:rsid w:val="004974B7"/>
    <w:rsid w:val="00497607"/>
    <w:rsid w:val="004A0321"/>
    <w:rsid w:val="004A124C"/>
    <w:rsid w:val="004A4572"/>
    <w:rsid w:val="004A62F5"/>
    <w:rsid w:val="004B0974"/>
    <w:rsid w:val="004B0E3D"/>
    <w:rsid w:val="004B3544"/>
    <w:rsid w:val="004B3CE5"/>
    <w:rsid w:val="004B54AC"/>
    <w:rsid w:val="004B77CD"/>
    <w:rsid w:val="004B79BD"/>
    <w:rsid w:val="004C1E12"/>
    <w:rsid w:val="004C29C1"/>
    <w:rsid w:val="004C499D"/>
    <w:rsid w:val="004C6496"/>
    <w:rsid w:val="004C687D"/>
    <w:rsid w:val="004C6978"/>
    <w:rsid w:val="004C7905"/>
    <w:rsid w:val="004C7CBF"/>
    <w:rsid w:val="004D27EB"/>
    <w:rsid w:val="004D3069"/>
    <w:rsid w:val="004D3624"/>
    <w:rsid w:val="004D45EF"/>
    <w:rsid w:val="004D5EC8"/>
    <w:rsid w:val="004D649E"/>
    <w:rsid w:val="004D689A"/>
    <w:rsid w:val="004D6F03"/>
    <w:rsid w:val="004D7B60"/>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D9"/>
    <w:rsid w:val="005032EC"/>
    <w:rsid w:val="00505283"/>
    <w:rsid w:val="00507A57"/>
    <w:rsid w:val="00507BCD"/>
    <w:rsid w:val="00511D1C"/>
    <w:rsid w:val="0051688C"/>
    <w:rsid w:val="00516E90"/>
    <w:rsid w:val="00517279"/>
    <w:rsid w:val="005204B0"/>
    <w:rsid w:val="00521298"/>
    <w:rsid w:val="005232DE"/>
    <w:rsid w:val="00523CA3"/>
    <w:rsid w:val="005259C4"/>
    <w:rsid w:val="00525CA6"/>
    <w:rsid w:val="00526A6B"/>
    <w:rsid w:val="00527898"/>
    <w:rsid w:val="00530A21"/>
    <w:rsid w:val="00530EA1"/>
    <w:rsid w:val="00531984"/>
    <w:rsid w:val="005343F1"/>
    <w:rsid w:val="00535B0E"/>
    <w:rsid w:val="00535BD7"/>
    <w:rsid w:val="005365A0"/>
    <w:rsid w:val="00536D92"/>
    <w:rsid w:val="00537ED2"/>
    <w:rsid w:val="0054041B"/>
    <w:rsid w:val="005418A8"/>
    <w:rsid w:val="00541E12"/>
    <w:rsid w:val="00542490"/>
    <w:rsid w:val="00543EC4"/>
    <w:rsid w:val="00544B44"/>
    <w:rsid w:val="00545DB7"/>
    <w:rsid w:val="00546A59"/>
    <w:rsid w:val="005478F0"/>
    <w:rsid w:val="00550879"/>
    <w:rsid w:val="00550D4C"/>
    <w:rsid w:val="005521CF"/>
    <w:rsid w:val="005533AB"/>
    <w:rsid w:val="00554250"/>
    <w:rsid w:val="0055538D"/>
    <w:rsid w:val="00555C4A"/>
    <w:rsid w:val="005560DF"/>
    <w:rsid w:val="00560ABB"/>
    <w:rsid w:val="00562A69"/>
    <w:rsid w:val="005635C4"/>
    <w:rsid w:val="00563FAE"/>
    <w:rsid w:val="00563FCB"/>
    <w:rsid w:val="00565F41"/>
    <w:rsid w:val="005666E3"/>
    <w:rsid w:val="00567673"/>
    <w:rsid w:val="0056799F"/>
    <w:rsid w:val="00571F23"/>
    <w:rsid w:val="00573813"/>
    <w:rsid w:val="00575937"/>
    <w:rsid w:val="0057698C"/>
    <w:rsid w:val="00580695"/>
    <w:rsid w:val="005818D8"/>
    <w:rsid w:val="00583742"/>
    <w:rsid w:val="0058709C"/>
    <w:rsid w:val="00587724"/>
    <w:rsid w:val="00587989"/>
    <w:rsid w:val="005911C6"/>
    <w:rsid w:val="00593758"/>
    <w:rsid w:val="00593D47"/>
    <w:rsid w:val="00593FE5"/>
    <w:rsid w:val="00594FB5"/>
    <w:rsid w:val="0059551F"/>
    <w:rsid w:val="00596E69"/>
    <w:rsid w:val="00597976"/>
    <w:rsid w:val="005979EA"/>
    <w:rsid w:val="005A0D29"/>
    <w:rsid w:val="005A277F"/>
    <w:rsid w:val="005A499F"/>
    <w:rsid w:val="005A4C63"/>
    <w:rsid w:val="005A70F3"/>
    <w:rsid w:val="005B0129"/>
    <w:rsid w:val="005B25E7"/>
    <w:rsid w:val="005B5499"/>
    <w:rsid w:val="005B5EEE"/>
    <w:rsid w:val="005B627E"/>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4A5"/>
    <w:rsid w:val="00600A50"/>
    <w:rsid w:val="00600F44"/>
    <w:rsid w:val="006010BA"/>
    <w:rsid w:val="006011C1"/>
    <w:rsid w:val="00601A20"/>
    <w:rsid w:val="00602A4D"/>
    <w:rsid w:val="0060366F"/>
    <w:rsid w:val="006067A9"/>
    <w:rsid w:val="006102CC"/>
    <w:rsid w:val="00610371"/>
    <w:rsid w:val="00610EA9"/>
    <w:rsid w:val="00611505"/>
    <w:rsid w:val="00612285"/>
    <w:rsid w:val="00613235"/>
    <w:rsid w:val="00613275"/>
    <w:rsid w:val="006152C0"/>
    <w:rsid w:val="00615CAD"/>
    <w:rsid w:val="00617F6A"/>
    <w:rsid w:val="00622971"/>
    <w:rsid w:val="006262C2"/>
    <w:rsid w:val="00627604"/>
    <w:rsid w:val="00627CBC"/>
    <w:rsid w:val="00627CF1"/>
    <w:rsid w:val="00630454"/>
    <w:rsid w:val="00633482"/>
    <w:rsid w:val="00633B24"/>
    <w:rsid w:val="00634270"/>
    <w:rsid w:val="00634BC7"/>
    <w:rsid w:val="00636466"/>
    <w:rsid w:val="00637474"/>
    <w:rsid w:val="006409A2"/>
    <w:rsid w:val="00641960"/>
    <w:rsid w:val="00641B20"/>
    <w:rsid w:val="00643242"/>
    <w:rsid w:val="006468A4"/>
    <w:rsid w:val="00647E2D"/>
    <w:rsid w:val="00647F29"/>
    <w:rsid w:val="006501A1"/>
    <w:rsid w:val="00650653"/>
    <w:rsid w:val="00652AF0"/>
    <w:rsid w:val="006531BF"/>
    <w:rsid w:val="00653DFD"/>
    <w:rsid w:val="006550A5"/>
    <w:rsid w:val="006562E2"/>
    <w:rsid w:val="00656817"/>
    <w:rsid w:val="006569A7"/>
    <w:rsid w:val="00657418"/>
    <w:rsid w:val="00660794"/>
    <w:rsid w:val="00660AC0"/>
    <w:rsid w:val="0066175E"/>
    <w:rsid w:val="00661F9A"/>
    <w:rsid w:val="0066237F"/>
    <w:rsid w:val="006633E8"/>
    <w:rsid w:val="00663C1C"/>
    <w:rsid w:val="006665B7"/>
    <w:rsid w:val="006748E2"/>
    <w:rsid w:val="00676B65"/>
    <w:rsid w:val="00677D51"/>
    <w:rsid w:val="00677D7E"/>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94C60"/>
    <w:rsid w:val="006A047C"/>
    <w:rsid w:val="006A3E70"/>
    <w:rsid w:val="006A4BD9"/>
    <w:rsid w:val="006A4CF7"/>
    <w:rsid w:val="006A61D7"/>
    <w:rsid w:val="006A6494"/>
    <w:rsid w:val="006B2438"/>
    <w:rsid w:val="006B4134"/>
    <w:rsid w:val="006B465A"/>
    <w:rsid w:val="006B5938"/>
    <w:rsid w:val="006B5987"/>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10E5"/>
    <w:rsid w:val="00702D5D"/>
    <w:rsid w:val="00702DD1"/>
    <w:rsid w:val="007036FC"/>
    <w:rsid w:val="00707682"/>
    <w:rsid w:val="007111BF"/>
    <w:rsid w:val="00712313"/>
    <w:rsid w:val="00712D03"/>
    <w:rsid w:val="00713006"/>
    <w:rsid w:val="00713CEA"/>
    <w:rsid w:val="00714E8D"/>
    <w:rsid w:val="00721054"/>
    <w:rsid w:val="00721064"/>
    <w:rsid w:val="00721953"/>
    <w:rsid w:val="00721FF3"/>
    <w:rsid w:val="00724ECD"/>
    <w:rsid w:val="007305F1"/>
    <w:rsid w:val="00730944"/>
    <w:rsid w:val="007309FA"/>
    <w:rsid w:val="0073121A"/>
    <w:rsid w:val="00731340"/>
    <w:rsid w:val="0073194B"/>
    <w:rsid w:val="00734DFF"/>
    <w:rsid w:val="0073601A"/>
    <w:rsid w:val="007375BE"/>
    <w:rsid w:val="00740675"/>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0138"/>
    <w:rsid w:val="00772038"/>
    <w:rsid w:val="00772969"/>
    <w:rsid w:val="00773547"/>
    <w:rsid w:val="00775FBA"/>
    <w:rsid w:val="00780FCE"/>
    <w:rsid w:val="007824BE"/>
    <w:rsid w:val="007830AA"/>
    <w:rsid w:val="00785387"/>
    <w:rsid w:val="00787096"/>
    <w:rsid w:val="00787A5C"/>
    <w:rsid w:val="0079223C"/>
    <w:rsid w:val="0079291A"/>
    <w:rsid w:val="00792B8B"/>
    <w:rsid w:val="0079340B"/>
    <w:rsid w:val="00795041"/>
    <w:rsid w:val="00795269"/>
    <w:rsid w:val="007A2360"/>
    <w:rsid w:val="007A236B"/>
    <w:rsid w:val="007A3E36"/>
    <w:rsid w:val="007A4038"/>
    <w:rsid w:val="007B06E2"/>
    <w:rsid w:val="007B1E23"/>
    <w:rsid w:val="007B2AA7"/>
    <w:rsid w:val="007B2EAF"/>
    <w:rsid w:val="007B55AB"/>
    <w:rsid w:val="007B7045"/>
    <w:rsid w:val="007B7E94"/>
    <w:rsid w:val="007C15F5"/>
    <w:rsid w:val="007C1EFD"/>
    <w:rsid w:val="007C32DB"/>
    <w:rsid w:val="007C3E33"/>
    <w:rsid w:val="007C4719"/>
    <w:rsid w:val="007C5353"/>
    <w:rsid w:val="007C6EFF"/>
    <w:rsid w:val="007C7D3B"/>
    <w:rsid w:val="007D0B89"/>
    <w:rsid w:val="007D10EF"/>
    <w:rsid w:val="007D22D3"/>
    <w:rsid w:val="007D26F7"/>
    <w:rsid w:val="007D4603"/>
    <w:rsid w:val="007D647D"/>
    <w:rsid w:val="007D6753"/>
    <w:rsid w:val="007D70B8"/>
    <w:rsid w:val="007E0147"/>
    <w:rsid w:val="007E0FFA"/>
    <w:rsid w:val="007E7C2F"/>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46AE"/>
    <w:rsid w:val="00806483"/>
    <w:rsid w:val="00806BBC"/>
    <w:rsid w:val="00807600"/>
    <w:rsid w:val="0081232C"/>
    <w:rsid w:val="00812942"/>
    <w:rsid w:val="00813686"/>
    <w:rsid w:val="00813E17"/>
    <w:rsid w:val="00815E7E"/>
    <w:rsid w:val="0081613F"/>
    <w:rsid w:val="008176FD"/>
    <w:rsid w:val="00817792"/>
    <w:rsid w:val="00821C4B"/>
    <w:rsid w:val="0082414E"/>
    <w:rsid w:val="00824BAB"/>
    <w:rsid w:val="00824C09"/>
    <w:rsid w:val="00824E71"/>
    <w:rsid w:val="008263DD"/>
    <w:rsid w:val="00827844"/>
    <w:rsid w:val="00827AF9"/>
    <w:rsid w:val="00827FBA"/>
    <w:rsid w:val="0083078B"/>
    <w:rsid w:val="00832277"/>
    <w:rsid w:val="00832E6C"/>
    <w:rsid w:val="008346B1"/>
    <w:rsid w:val="00835EBE"/>
    <w:rsid w:val="0083797F"/>
    <w:rsid w:val="00840EAD"/>
    <w:rsid w:val="008419E1"/>
    <w:rsid w:val="008430BD"/>
    <w:rsid w:val="00843517"/>
    <w:rsid w:val="00843553"/>
    <w:rsid w:val="00844374"/>
    <w:rsid w:val="00845985"/>
    <w:rsid w:val="00846048"/>
    <w:rsid w:val="008467F3"/>
    <w:rsid w:val="00846A9A"/>
    <w:rsid w:val="0084705A"/>
    <w:rsid w:val="00851B86"/>
    <w:rsid w:val="008527DF"/>
    <w:rsid w:val="00852AAF"/>
    <w:rsid w:val="008539C6"/>
    <w:rsid w:val="008551D4"/>
    <w:rsid w:val="00855A36"/>
    <w:rsid w:val="00856088"/>
    <w:rsid w:val="00856DF3"/>
    <w:rsid w:val="0086023D"/>
    <w:rsid w:val="0086166C"/>
    <w:rsid w:val="008623D0"/>
    <w:rsid w:val="00863EB2"/>
    <w:rsid w:val="00864863"/>
    <w:rsid w:val="00871241"/>
    <w:rsid w:val="00872529"/>
    <w:rsid w:val="00872C1E"/>
    <w:rsid w:val="00873B24"/>
    <w:rsid w:val="00873C9E"/>
    <w:rsid w:val="0087497F"/>
    <w:rsid w:val="008806D5"/>
    <w:rsid w:val="008809F4"/>
    <w:rsid w:val="008853D2"/>
    <w:rsid w:val="00885C28"/>
    <w:rsid w:val="00886011"/>
    <w:rsid w:val="00886331"/>
    <w:rsid w:val="008902E2"/>
    <w:rsid w:val="00890E20"/>
    <w:rsid w:val="00891D9F"/>
    <w:rsid w:val="00892770"/>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16D"/>
    <w:rsid w:val="008D5546"/>
    <w:rsid w:val="008D6C39"/>
    <w:rsid w:val="008D7999"/>
    <w:rsid w:val="008E10D8"/>
    <w:rsid w:val="008E16A2"/>
    <w:rsid w:val="008E1EB3"/>
    <w:rsid w:val="008E2EDF"/>
    <w:rsid w:val="008E2FD1"/>
    <w:rsid w:val="008E44AC"/>
    <w:rsid w:val="008E7E69"/>
    <w:rsid w:val="008F3675"/>
    <w:rsid w:val="008F567A"/>
    <w:rsid w:val="008F7059"/>
    <w:rsid w:val="008F79B6"/>
    <w:rsid w:val="0090034D"/>
    <w:rsid w:val="00901F4D"/>
    <w:rsid w:val="00904E3D"/>
    <w:rsid w:val="00905EFD"/>
    <w:rsid w:val="00907032"/>
    <w:rsid w:val="0091067A"/>
    <w:rsid w:val="00911FF0"/>
    <w:rsid w:val="00914823"/>
    <w:rsid w:val="00915732"/>
    <w:rsid w:val="00916D33"/>
    <w:rsid w:val="00917B88"/>
    <w:rsid w:val="00920B0A"/>
    <w:rsid w:val="009237E2"/>
    <w:rsid w:val="009242B2"/>
    <w:rsid w:val="009254B1"/>
    <w:rsid w:val="0093102E"/>
    <w:rsid w:val="00932330"/>
    <w:rsid w:val="00934F46"/>
    <w:rsid w:val="00937A37"/>
    <w:rsid w:val="00941B64"/>
    <w:rsid w:val="00952D80"/>
    <w:rsid w:val="00954012"/>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D7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55C0"/>
    <w:rsid w:val="009B7AA5"/>
    <w:rsid w:val="009C02D7"/>
    <w:rsid w:val="009C0ABC"/>
    <w:rsid w:val="009C1B7C"/>
    <w:rsid w:val="009C2168"/>
    <w:rsid w:val="009C3AE5"/>
    <w:rsid w:val="009C6F47"/>
    <w:rsid w:val="009C735F"/>
    <w:rsid w:val="009D1A3C"/>
    <w:rsid w:val="009D2C3F"/>
    <w:rsid w:val="009D4EC1"/>
    <w:rsid w:val="009D5A9F"/>
    <w:rsid w:val="009D679D"/>
    <w:rsid w:val="009D7C6E"/>
    <w:rsid w:val="009E0877"/>
    <w:rsid w:val="009E19B0"/>
    <w:rsid w:val="009E1BEB"/>
    <w:rsid w:val="009E1C98"/>
    <w:rsid w:val="009E2B5C"/>
    <w:rsid w:val="009E2CAA"/>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32E"/>
    <w:rsid w:val="00A15553"/>
    <w:rsid w:val="00A15933"/>
    <w:rsid w:val="00A15ECA"/>
    <w:rsid w:val="00A16869"/>
    <w:rsid w:val="00A2087C"/>
    <w:rsid w:val="00A22A60"/>
    <w:rsid w:val="00A23F0B"/>
    <w:rsid w:val="00A24032"/>
    <w:rsid w:val="00A25F9A"/>
    <w:rsid w:val="00A30C19"/>
    <w:rsid w:val="00A30CA2"/>
    <w:rsid w:val="00A327F6"/>
    <w:rsid w:val="00A33269"/>
    <w:rsid w:val="00A340EC"/>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AC2"/>
    <w:rsid w:val="00A61C1E"/>
    <w:rsid w:val="00A61EF2"/>
    <w:rsid w:val="00A620B4"/>
    <w:rsid w:val="00A633E9"/>
    <w:rsid w:val="00A639B0"/>
    <w:rsid w:val="00A6513A"/>
    <w:rsid w:val="00A65187"/>
    <w:rsid w:val="00A65204"/>
    <w:rsid w:val="00A66EF9"/>
    <w:rsid w:val="00A6725F"/>
    <w:rsid w:val="00A6782C"/>
    <w:rsid w:val="00A67EDD"/>
    <w:rsid w:val="00A70D70"/>
    <w:rsid w:val="00A72B2B"/>
    <w:rsid w:val="00A81246"/>
    <w:rsid w:val="00A81517"/>
    <w:rsid w:val="00A81B17"/>
    <w:rsid w:val="00A82939"/>
    <w:rsid w:val="00A82DD0"/>
    <w:rsid w:val="00A82F7B"/>
    <w:rsid w:val="00A83E78"/>
    <w:rsid w:val="00A91CCA"/>
    <w:rsid w:val="00A92883"/>
    <w:rsid w:val="00A95DA9"/>
    <w:rsid w:val="00AA23E1"/>
    <w:rsid w:val="00AA3CD7"/>
    <w:rsid w:val="00AA47D1"/>
    <w:rsid w:val="00AA4A21"/>
    <w:rsid w:val="00AA73AC"/>
    <w:rsid w:val="00AB2427"/>
    <w:rsid w:val="00AB2874"/>
    <w:rsid w:val="00AB3FBD"/>
    <w:rsid w:val="00AB557E"/>
    <w:rsid w:val="00AB63E6"/>
    <w:rsid w:val="00AB6A4D"/>
    <w:rsid w:val="00AB7BBC"/>
    <w:rsid w:val="00AB7DE4"/>
    <w:rsid w:val="00AC3533"/>
    <w:rsid w:val="00AC4332"/>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6019"/>
    <w:rsid w:val="00AF79BF"/>
    <w:rsid w:val="00B05936"/>
    <w:rsid w:val="00B05B3C"/>
    <w:rsid w:val="00B06496"/>
    <w:rsid w:val="00B06EBE"/>
    <w:rsid w:val="00B10209"/>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0FD8"/>
    <w:rsid w:val="00B41CD2"/>
    <w:rsid w:val="00B43DE0"/>
    <w:rsid w:val="00B50492"/>
    <w:rsid w:val="00B506DE"/>
    <w:rsid w:val="00B53DF1"/>
    <w:rsid w:val="00B55085"/>
    <w:rsid w:val="00B5559F"/>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875E3"/>
    <w:rsid w:val="00B90782"/>
    <w:rsid w:val="00B90BA9"/>
    <w:rsid w:val="00B91E2E"/>
    <w:rsid w:val="00B920AC"/>
    <w:rsid w:val="00B94066"/>
    <w:rsid w:val="00B94F6E"/>
    <w:rsid w:val="00B95EBF"/>
    <w:rsid w:val="00B96107"/>
    <w:rsid w:val="00B97447"/>
    <w:rsid w:val="00B97471"/>
    <w:rsid w:val="00BA0011"/>
    <w:rsid w:val="00BA0D7C"/>
    <w:rsid w:val="00BA47AF"/>
    <w:rsid w:val="00BA54E5"/>
    <w:rsid w:val="00BA7EB0"/>
    <w:rsid w:val="00BB0FE7"/>
    <w:rsid w:val="00BB2177"/>
    <w:rsid w:val="00BB4B8C"/>
    <w:rsid w:val="00BB4E4B"/>
    <w:rsid w:val="00BB6E01"/>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4771"/>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42EE"/>
    <w:rsid w:val="00C65252"/>
    <w:rsid w:val="00C65919"/>
    <w:rsid w:val="00C66D3E"/>
    <w:rsid w:val="00C72EEC"/>
    <w:rsid w:val="00C73263"/>
    <w:rsid w:val="00C75110"/>
    <w:rsid w:val="00C76210"/>
    <w:rsid w:val="00C77AF5"/>
    <w:rsid w:val="00C77F40"/>
    <w:rsid w:val="00C81A5B"/>
    <w:rsid w:val="00C8374D"/>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C6B32"/>
    <w:rsid w:val="00CD0224"/>
    <w:rsid w:val="00CD0BE7"/>
    <w:rsid w:val="00CD29F4"/>
    <w:rsid w:val="00CD2E01"/>
    <w:rsid w:val="00CD3D93"/>
    <w:rsid w:val="00CD47DF"/>
    <w:rsid w:val="00CD565E"/>
    <w:rsid w:val="00CD6388"/>
    <w:rsid w:val="00CD687D"/>
    <w:rsid w:val="00CD70CB"/>
    <w:rsid w:val="00CD7A81"/>
    <w:rsid w:val="00CE01D8"/>
    <w:rsid w:val="00CE065C"/>
    <w:rsid w:val="00CE57C8"/>
    <w:rsid w:val="00CE73BB"/>
    <w:rsid w:val="00CE760C"/>
    <w:rsid w:val="00CF07AA"/>
    <w:rsid w:val="00CF1648"/>
    <w:rsid w:val="00CF4564"/>
    <w:rsid w:val="00CF4B51"/>
    <w:rsid w:val="00CF5083"/>
    <w:rsid w:val="00CF70B1"/>
    <w:rsid w:val="00D0021E"/>
    <w:rsid w:val="00D00BD7"/>
    <w:rsid w:val="00D01E23"/>
    <w:rsid w:val="00D061C8"/>
    <w:rsid w:val="00D0693A"/>
    <w:rsid w:val="00D0725F"/>
    <w:rsid w:val="00D074BB"/>
    <w:rsid w:val="00D077B4"/>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3AE6"/>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51C55"/>
    <w:rsid w:val="00D51CA2"/>
    <w:rsid w:val="00D52F63"/>
    <w:rsid w:val="00D533B5"/>
    <w:rsid w:val="00D540F0"/>
    <w:rsid w:val="00D55F9D"/>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3C5"/>
    <w:rsid w:val="00D72704"/>
    <w:rsid w:val="00D73931"/>
    <w:rsid w:val="00D740FC"/>
    <w:rsid w:val="00D7412D"/>
    <w:rsid w:val="00D835C6"/>
    <w:rsid w:val="00D84B26"/>
    <w:rsid w:val="00D856A0"/>
    <w:rsid w:val="00D90A06"/>
    <w:rsid w:val="00D912B2"/>
    <w:rsid w:val="00D93EEE"/>
    <w:rsid w:val="00D96228"/>
    <w:rsid w:val="00DA03E9"/>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AFE"/>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5008"/>
    <w:rsid w:val="00DE5FFB"/>
    <w:rsid w:val="00DE634D"/>
    <w:rsid w:val="00DF0E4E"/>
    <w:rsid w:val="00DF0F4C"/>
    <w:rsid w:val="00DF1261"/>
    <w:rsid w:val="00DF2E69"/>
    <w:rsid w:val="00DF3EE8"/>
    <w:rsid w:val="00DF4627"/>
    <w:rsid w:val="00DF5341"/>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27D55"/>
    <w:rsid w:val="00E30040"/>
    <w:rsid w:val="00E3005A"/>
    <w:rsid w:val="00E316FE"/>
    <w:rsid w:val="00E328DC"/>
    <w:rsid w:val="00E33532"/>
    <w:rsid w:val="00E35DD2"/>
    <w:rsid w:val="00E36B75"/>
    <w:rsid w:val="00E377DE"/>
    <w:rsid w:val="00E44A22"/>
    <w:rsid w:val="00E46618"/>
    <w:rsid w:val="00E46789"/>
    <w:rsid w:val="00E51299"/>
    <w:rsid w:val="00E54C99"/>
    <w:rsid w:val="00E553D2"/>
    <w:rsid w:val="00E57DCC"/>
    <w:rsid w:val="00E60830"/>
    <w:rsid w:val="00E61266"/>
    <w:rsid w:val="00E61591"/>
    <w:rsid w:val="00E63089"/>
    <w:rsid w:val="00E63BAD"/>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07D"/>
    <w:rsid w:val="00EA5364"/>
    <w:rsid w:val="00EA5447"/>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FEC"/>
    <w:rsid w:val="00ED2856"/>
    <w:rsid w:val="00ED375A"/>
    <w:rsid w:val="00ED3CB0"/>
    <w:rsid w:val="00ED3D57"/>
    <w:rsid w:val="00ED430F"/>
    <w:rsid w:val="00ED478A"/>
    <w:rsid w:val="00ED668E"/>
    <w:rsid w:val="00EE0FA4"/>
    <w:rsid w:val="00EE1ECC"/>
    <w:rsid w:val="00EE2266"/>
    <w:rsid w:val="00EE2340"/>
    <w:rsid w:val="00EF0237"/>
    <w:rsid w:val="00EF0FBC"/>
    <w:rsid w:val="00EF5B0C"/>
    <w:rsid w:val="00EF6ED9"/>
    <w:rsid w:val="00F00B79"/>
    <w:rsid w:val="00F01559"/>
    <w:rsid w:val="00F04131"/>
    <w:rsid w:val="00F04FED"/>
    <w:rsid w:val="00F052B9"/>
    <w:rsid w:val="00F1038D"/>
    <w:rsid w:val="00F10AD0"/>
    <w:rsid w:val="00F11DB7"/>
    <w:rsid w:val="00F12350"/>
    <w:rsid w:val="00F1356D"/>
    <w:rsid w:val="00F14D90"/>
    <w:rsid w:val="00F153AC"/>
    <w:rsid w:val="00F179FC"/>
    <w:rsid w:val="00F208CF"/>
    <w:rsid w:val="00F20946"/>
    <w:rsid w:val="00F21D14"/>
    <w:rsid w:val="00F220C0"/>
    <w:rsid w:val="00F231B0"/>
    <w:rsid w:val="00F23F59"/>
    <w:rsid w:val="00F24EB1"/>
    <w:rsid w:val="00F253B4"/>
    <w:rsid w:val="00F25676"/>
    <w:rsid w:val="00F27A11"/>
    <w:rsid w:val="00F27D26"/>
    <w:rsid w:val="00F3080C"/>
    <w:rsid w:val="00F31324"/>
    <w:rsid w:val="00F316C9"/>
    <w:rsid w:val="00F33CA4"/>
    <w:rsid w:val="00F34065"/>
    <w:rsid w:val="00F35C3C"/>
    <w:rsid w:val="00F36366"/>
    <w:rsid w:val="00F37E3F"/>
    <w:rsid w:val="00F40CA7"/>
    <w:rsid w:val="00F40CBB"/>
    <w:rsid w:val="00F422B3"/>
    <w:rsid w:val="00F42692"/>
    <w:rsid w:val="00F427E2"/>
    <w:rsid w:val="00F42826"/>
    <w:rsid w:val="00F44519"/>
    <w:rsid w:val="00F44C4B"/>
    <w:rsid w:val="00F45556"/>
    <w:rsid w:val="00F45C94"/>
    <w:rsid w:val="00F46C3A"/>
    <w:rsid w:val="00F503B3"/>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75190"/>
    <w:rsid w:val="00F80948"/>
    <w:rsid w:val="00F81C63"/>
    <w:rsid w:val="00F82446"/>
    <w:rsid w:val="00F85472"/>
    <w:rsid w:val="00F8789C"/>
    <w:rsid w:val="00F90C38"/>
    <w:rsid w:val="00F90DA6"/>
    <w:rsid w:val="00F92F37"/>
    <w:rsid w:val="00F93F71"/>
    <w:rsid w:val="00F94F8C"/>
    <w:rsid w:val="00F96443"/>
    <w:rsid w:val="00F967F9"/>
    <w:rsid w:val="00F971C2"/>
    <w:rsid w:val="00F9781B"/>
    <w:rsid w:val="00FA17A0"/>
    <w:rsid w:val="00FA23CD"/>
    <w:rsid w:val="00FA325D"/>
    <w:rsid w:val="00FA3970"/>
    <w:rsid w:val="00FA7E63"/>
    <w:rsid w:val="00FB1022"/>
    <w:rsid w:val="00FB1B1F"/>
    <w:rsid w:val="00FB2EAD"/>
    <w:rsid w:val="00FB4A14"/>
    <w:rsid w:val="00FB7081"/>
    <w:rsid w:val="00FB7538"/>
    <w:rsid w:val="00FC0516"/>
    <w:rsid w:val="00FC07A9"/>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18B7"/>
    <w:rsid w:val="00FF2246"/>
    <w:rsid w:val="00FF30B7"/>
    <w:rsid w:val="00FF4E37"/>
    <w:rsid w:val="00FF5820"/>
    <w:rsid w:val="00FF5C6C"/>
    <w:rsid w:val="00FF67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 w:type="table" w:styleId="TableGrid">
    <w:name w:val="Table Grid"/>
    <w:basedOn w:val="TableNormal"/>
    <w:uiPriority w:val="39"/>
    <w:rsid w:val="007D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8454">
      <w:bodyDiv w:val="1"/>
      <w:marLeft w:val="0"/>
      <w:marRight w:val="0"/>
      <w:marTop w:val="0"/>
      <w:marBottom w:val="0"/>
      <w:divBdr>
        <w:top w:val="none" w:sz="0" w:space="0" w:color="auto"/>
        <w:left w:val="none" w:sz="0" w:space="0" w:color="auto"/>
        <w:bottom w:val="none" w:sz="0" w:space="0" w:color="auto"/>
        <w:right w:val="none" w:sz="0" w:space="0" w:color="auto"/>
      </w:divBdr>
      <w:divsChild>
        <w:div w:id="911043523">
          <w:marLeft w:val="0"/>
          <w:marRight w:val="0"/>
          <w:marTop w:val="0"/>
          <w:marBottom w:val="0"/>
          <w:divBdr>
            <w:top w:val="none" w:sz="0" w:space="0" w:color="auto"/>
            <w:left w:val="none" w:sz="0" w:space="0" w:color="auto"/>
            <w:bottom w:val="none" w:sz="0" w:space="0" w:color="auto"/>
            <w:right w:val="none" w:sz="0" w:space="0" w:color="auto"/>
          </w:divBdr>
        </w:div>
        <w:div w:id="1029067258">
          <w:marLeft w:val="0"/>
          <w:marRight w:val="0"/>
          <w:marTop w:val="0"/>
          <w:marBottom w:val="0"/>
          <w:divBdr>
            <w:top w:val="none" w:sz="0" w:space="0" w:color="auto"/>
            <w:left w:val="none" w:sz="0" w:space="0" w:color="auto"/>
            <w:bottom w:val="none" w:sz="0" w:space="0" w:color="auto"/>
            <w:right w:val="none" w:sz="0" w:space="0" w:color="auto"/>
          </w:divBdr>
        </w:div>
        <w:div w:id="2052075963">
          <w:marLeft w:val="0"/>
          <w:marRight w:val="0"/>
          <w:marTop w:val="0"/>
          <w:marBottom w:val="0"/>
          <w:divBdr>
            <w:top w:val="none" w:sz="0" w:space="0" w:color="auto"/>
            <w:left w:val="none" w:sz="0" w:space="0" w:color="auto"/>
            <w:bottom w:val="none" w:sz="0" w:space="0" w:color="auto"/>
            <w:right w:val="none" w:sz="0" w:space="0" w:color="auto"/>
          </w:divBdr>
        </w:div>
        <w:div w:id="2007514564">
          <w:marLeft w:val="0"/>
          <w:marRight w:val="0"/>
          <w:marTop w:val="0"/>
          <w:marBottom w:val="0"/>
          <w:divBdr>
            <w:top w:val="none" w:sz="0" w:space="0" w:color="auto"/>
            <w:left w:val="none" w:sz="0" w:space="0" w:color="auto"/>
            <w:bottom w:val="none" w:sz="0" w:space="0" w:color="auto"/>
            <w:right w:val="none" w:sz="0" w:space="0" w:color="auto"/>
          </w:divBdr>
        </w:div>
        <w:div w:id="371537345">
          <w:marLeft w:val="0"/>
          <w:marRight w:val="0"/>
          <w:marTop w:val="0"/>
          <w:marBottom w:val="0"/>
          <w:divBdr>
            <w:top w:val="none" w:sz="0" w:space="0" w:color="auto"/>
            <w:left w:val="none" w:sz="0" w:space="0" w:color="auto"/>
            <w:bottom w:val="none" w:sz="0" w:space="0" w:color="auto"/>
            <w:right w:val="none" w:sz="0" w:space="0" w:color="auto"/>
          </w:divBdr>
        </w:div>
        <w:div w:id="1388577063">
          <w:marLeft w:val="0"/>
          <w:marRight w:val="0"/>
          <w:marTop w:val="0"/>
          <w:marBottom w:val="0"/>
          <w:divBdr>
            <w:top w:val="none" w:sz="0" w:space="0" w:color="auto"/>
            <w:left w:val="none" w:sz="0" w:space="0" w:color="auto"/>
            <w:bottom w:val="none" w:sz="0" w:space="0" w:color="auto"/>
            <w:right w:val="none" w:sz="0" w:space="0" w:color="auto"/>
          </w:divBdr>
        </w:div>
      </w:divsChild>
    </w:div>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608974788">
      <w:bodyDiv w:val="1"/>
      <w:marLeft w:val="0"/>
      <w:marRight w:val="0"/>
      <w:marTop w:val="0"/>
      <w:marBottom w:val="0"/>
      <w:divBdr>
        <w:top w:val="none" w:sz="0" w:space="0" w:color="auto"/>
        <w:left w:val="none" w:sz="0" w:space="0" w:color="auto"/>
        <w:bottom w:val="none" w:sz="0" w:space="0" w:color="auto"/>
        <w:right w:val="none" w:sz="0" w:space="0" w:color="auto"/>
      </w:divBdr>
      <w:divsChild>
        <w:div w:id="532770252">
          <w:marLeft w:val="0"/>
          <w:marRight w:val="0"/>
          <w:marTop w:val="0"/>
          <w:marBottom w:val="0"/>
          <w:divBdr>
            <w:top w:val="none" w:sz="0" w:space="0" w:color="auto"/>
            <w:left w:val="none" w:sz="0" w:space="0" w:color="auto"/>
            <w:bottom w:val="none" w:sz="0" w:space="0" w:color="auto"/>
            <w:right w:val="none" w:sz="0" w:space="0" w:color="auto"/>
          </w:divBdr>
        </w:div>
        <w:div w:id="1703242788">
          <w:marLeft w:val="0"/>
          <w:marRight w:val="0"/>
          <w:marTop w:val="0"/>
          <w:marBottom w:val="0"/>
          <w:divBdr>
            <w:top w:val="none" w:sz="0" w:space="0" w:color="auto"/>
            <w:left w:val="none" w:sz="0" w:space="0" w:color="auto"/>
            <w:bottom w:val="none" w:sz="0" w:space="0" w:color="auto"/>
            <w:right w:val="none" w:sz="0" w:space="0" w:color="auto"/>
          </w:divBdr>
        </w:div>
        <w:div w:id="1545092650">
          <w:marLeft w:val="0"/>
          <w:marRight w:val="0"/>
          <w:marTop w:val="0"/>
          <w:marBottom w:val="0"/>
          <w:divBdr>
            <w:top w:val="none" w:sz="0" w:space="0" w:color="auto"/>
            <w:left w:val="none" w:sz="0" w:space="0" w:color="auto"/>
            <w:bottom w:val="none" w:sz="0" w:space="0" w:color="auto"/>
            <w:right w:val="none" w:sz="0" w:space="0" w:color="auto"/>
          </w:divBdr>
        </w:div>
        <w:div w:id="2010593610">
          <w:marLeft w:val="0"/>
          <w:marRight w:val="0"/>
          <w:marTop w:val="0"/>
          <w:marBottom w:val="0"/>
          <w:divBdr>
            <w:top w:val="none" w:sz="0" w:space="0" w:color="auto"/>
            <w:left w:val="none" w:sz="0" w:space="0" w:color="auto"/>
            <w:bottom w:val="none" w:sz="0" w:space="0" w:color="auto"/>
            <w:right w:val="none" w:sz="0" w:space="0" w:color="auto"/>
          </w:divBdr>
        </w:div>
        <w:div w:id="1829250609">
          <w:marLeft w:val="0"/>
          <w:marRight w:val="0"/>
          <w:marTop w:val="0"/>
          <w:marBottom w:val="0"/>
          <w:divBdr>
            <w:top w:val="none" w:sz="0" w:space="0" w:color="auto"/>
            <w:left w:val="none" w:sz="0" w:space="0" w:color="auto"/>
            <w:bottom w:val="none" w:sz="0" w:space="0" w:color="auto"/>
            <w:right w:val="none" w:sz="0" w:space="0" w:color="auto"/>
          </w:divBdr>
        </w:div>
        <w:div w:id="920211981">
          <w:marLeft w:val="0"/>
          <w:marRight w:val="0"/>
          <w:marTop w:val="0"/>
          <w:marBottom w:val="0"/>
          <w:divBdr>
            <w:top w:val="none" w:sz="0" w:space="0" w:color="auto"/>
            <w:left w:val="none" w:sz="0" w:space="0" w:color="auto"/>
            <w:bottom w:val="none" w:sz="0" w:space="0" w:color="auto"/>
            <w:right w:val="none" w:sz="0" w:space="0" w:color="auto"/>
          </w:divBdr>
        </w:div>
      </w:divsChild>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1623803792">
      <w:bodyDiv w:val="1"/>
      <w:marLeft w:val="0"/>
      <w:marRight w:val="0"/>
      <w:marTop w:val="0"/>
      <w:marBottom w:val="0"/>
      <w:divBdr>
        <w:top w:val="none" w:sz="0" w:space="0" w:color="auto"/>
        <w:left w:val="none" w:sz="0" w:space="0" w:color="auto"/>
        <w:bottom w:val="none" w:sz="0" w:space="0" w:color="auto"/>
        <w:right w:val="none" w:sz="0" w:space="0" w:color="auto"/>
      </w:divBdr>
    </w:div>
    <w:div w:id="1712531950">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7946</Words>
  <Characters>45296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2</cp:revision>
  <dcterms:created xsi:type="dcterms:W3CDTF">2024-09-19T14:35:00Z</dcterms:created>
  <dcterms:modified xsi:type="dcterms:W3CDTF">2024-09-19T14:35:00Z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