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230CBA36" w:rsidR="00B8033D" w:rsidRPr="00B8033D" w:rsidRDefault="00966481" w:rsidP="009D3DD5">
      <w:pPr>
        <w:spacing w:line="360" w:lineRule="auto"/>
        <w:rPr>
          <w:rFonts w:ascii="Arial" w:hAnsi="Arial" w:cs="Arial"/>
          <w:sz w:val="28"/>
          <w:szCs w:val="28"/>
        </w:rPr>
      </w:pPr>
      <w:r>
        <w:rPr>
          <w:rFonts w:ascii="Arial" w:hAnsi="Arial" w:cs="Arial"/>
          <w:sz w:val="28"/>
          <w:szCs w:val="28"/>
        </w:rPr>
        <w:t>Quantifying</w:t>
      </w:r>
      <w:r w:rsidRPr="00B8033D">
        <w:rPr>
          <w:rFonts w:ascii="Arial" w:hAnsi="Arial" w:cs="Arial"/>
          <w:sz w:val="28"/>
          <w:szCs w:val="28"/>
        </w:rPr>
        <w:t xml:space="preserve"> </w:t>
      </w:r>
      <w:r>
        <w:rPr>
          <w:rFonts w:ascii="Arial" w:hAnsi="Arial" w:cs="Arial"/>
          <w:sz w:val="28"/>
          <w:szCs w:val="28"/>
        </w:rPr>
        <w:t>likelihoods of detection</w:t>
      </w:r>
      <w:r w:rsidRPr="00B8033D">
        <w:rPr>
          <w:rFonts w:ascii="Arial" w:hAnsi="Arial" w:cs="Arial"/>
          <w:sz w:val="28"/>
          <w:szCs w:val="28"/>
        </w:rPr>
        <w:t xml:space="preserve"> </w:t>
      </w:r>
      <w:r w:rsidR="00B8033D" w:rsidRPr="00B8033D">
        <w:rPr>
          <w:rFonts w:ascii="Arial" w:hAnsi="Arial" w:cs="Arial"/>
          <w:sz w:val="28"/>
          <w:szCs w:val="28"/>
        </w:rPr>
        <w:t xml:space="preserve">and nosocomial transmission of </w:t>
      </w:r>
      <w:r>
        <w:rPr>
          <w:rFonts w:ascii="Arial" w:hAnsi="Arial" w:cs="Arial"/>
          <w:sz w:val="28"/>
          <w:szCs w:val="28"/>
        </w:rPr>
        <w:t>pathogenic bacteria</w:t>
      </w:r>
      <w:r w:rsidR="00B8033D" w:rsidRPr="00B8033D">
        <w:rPr>
          <w:rFonts w:ascii="Arial" w:hAnsi="Arial" w:cs="Arial"/>
          <w:sz w:val="28"/>
          <w:szCs w:val="28"/>
        </w:rPr>
        <w:t xml:space="preserve"> in hospital settings using patient records and culture data</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Pr="00F649EE" w:rsidRDefault="00E6133D" w:rsidP="009D3DD5">
      <w:pPr>
        <w:spacing w:line="360" w:lineRule="auto"/>
        <w:rPr>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46D7756D" w14:textId="215F439E" w:rsidR="00E6133D"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0FE752DA" w14:textId="5FC632E9" w:rsidR="002457B3"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w:t>
      </w:r>
      <w:ins w:id="0" w:author="Cascante Vega, Jaime E." w:date="2023-04-27T16:58:00Z">
        <w:r w:rsidR="00BA1BE4">
          <w:rPr>
            <w:rFonts w:ascii="Arial" w:hAnsi="Arial" w:cs="Arial"/>
            <w:sz w:val="20"/>
            <w:szCs w:val="20"/>
          </w:rPr>
          <w:t xml:space="preserve"> A.C.U.,</w:t>
        </w:r>
      </w:ins>
      <w:r w:rsidR="002457B3">
        <w:rPr>
          <w:rFonts w:ascii="Arial" w:hAnsi="Arial" w:cs="Arial"/>
          <w:sz w:val="20"/>
          <w:szCs w:val="20"/>
        </w:rPr>
        <w:t xml:space="preserve"> S.P. and J.S. conceived the study and managed the project. J.C.V. performed the analysis. L.W. and J.Z. curated the data,</w:t>
      </w:r>
      <w:r w:rsidR="00146ED4">
        <w:rPr>
          <w:rFonts w:ascii="Arial" w:hAnsi="Arial" w:cs="Arial"/>
          <w:sz w:val="20"/>
          <w:szCs w:val="20"/>
        </w:rPr>
        <w:t xml:space="preserve"> J.C.V. and R.Y. processed and compiled the data,</w:t>
      </w:r>
      <w:r w:rsidR="002457B3">
        <w:rPr>
          <w:rFonts w:ascii="Arial" w:hAnsi="Arial" w:cs="Arial"/>
          <w:sz w:val="20"/>
          <w:szCs w:val="20"/>
        </w:rPr>
        <w:t xml:space="preserve"> J.C.V., T.R.</w:t>
      </w:r>
      <w:r w:rsidR="00146ED4">
        <w:rPr>
          <w:rFonts w:ascii="Arial" w:hAnsi="Arial" w:cs="Arial"/>
          <w:sz w:val="20"/>
          <w:szCs w:val="20"/>
        </w:rPr>
        <w:t xml:space="preserve">, </w:t>
      </w:r>
      <w:r w:rsidR="00966481">
        <w:rPr>
          <w:rFonts w:ascii="Arial" w:hAnsi="Arial" w:cs="Arial"/>
          <w:sz w:val="20"/>
          <w:szCs w:val="20"/>
        </w:rPr>
        <w:t>R</w:t>
      </w:r>
      <w:r w:rsidR="00146ED4">
        <w:rPr>
          <w:rFonts w:ascii="Arial" w:hAnsi="Arial" w:cs="Arial"/>
          <w:sz w:val="20"/>
          <w:szCs w:val="20"/>
        </w:rPr>
        <w:t>.</w:t>
      </w:r>
      <w:r w:rsidR="00966481">
        <w:rPr>
          <w:rFonts w:ascii="Arial" w:hAnsi="Arial" w:cs="Arial"/>
          <w:sz w:val="20"/>
          <w:szCs w:val="20"/>
        </w:rPr>
        <w:t>Y</w:t>
      </w:r>
      <w:r w:rsidR="00146ED4">
        <w:rPr>
          <w:rFonts w:ascii="Arial" w:hAnsi="Arial" w:cs="Arial"/>
          <w:sz w:val="20"/>
          <w:szCs w:val="20"/>
        </w:rPr>
        <w:t>.</w:t>
      </w:r>
      <w:r w:rsidR="002457B3">
        <w:rPr>
          <w:rFonts w:ascii="Arial" w:hAnsi="Arial" w:cs="Arial"/>
          <w:sz w:val="20"/>
          <w:szCs w:val="20"/>
        </w:rPr>
        <w:t>, A.C.U</w:t>
      </w:r>
      <w:r w:rsidR="00C512F9">
        <w:rPr>
          <w:rFonts w:ascii="Arial" w:hAnsi="Arial" w:cs="Arial"/>
          <w:sz w:val="20"/>
          <w:szCs w:val="20"/>
        </w:rPr>
        <w:t>.</w:t>
      </w:r>
      <w:r w:rsidR="00146ED4">
        <w:rPr>
          <w:rFonts w:ascii="Arial" w:hAnsi="Arial" w:cs="Arial"/>
          <w:sz w:val="20"/>
          <w:szCs w:val="20"/>
        </w:rPr>
        <w:t>, J.Z.</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2EE7E3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r w:rsidR="00E17199">
        <w:rPr>
          <w:rFonts w:ascii="Arial" w:hAnsi="Arial" w:cs="Arial"/>
          <w:sz w:val="20"/>
          <w:szCs w:val="20"/>
        </w:rPr>
        <w:t xml:space="preserve">, </w:t>
      </w:r>
      <w:r w:rsidR="00C71F57">
        <w:rPr>
          <w:rFonts w:ascii="Arial" w:hAnsi="Arial" w:cs="Arial"/>
          <w:sz w:val="20"/>
          <w:szCs w:val="20"/>
        </w:rPr>
        <w:t>agent-based</w:t>
      </w:r>
      <w:r w:rsidR="00E17199">
        <w:rPr>
          <w:rFonts w:ascii="Arial" w:hAnsi="Arial" w:cs="Arial"/>
          <w:sz w:val="20"/>
          <w:szCs w:val="20"/>
        </w:rPr>
        <w:t xml:space="preserve"> model</w:t>
      </w:r>
      <w:r w:rsidR="00AF2500">
        <w:rPr>
          <w:rFonts w:ascii="Arial" w:hAnsi="Arial" w:cs="Arial"/>
          <w:sz w:val="20"/>
          <w:szCs w:val="20"/>
        </w:rPr>
        <w:t>, inverse problems</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lastRenderedPageBreak/>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1" w:name="30j0zll" w:colFirst="0" w:colLast="0"/>
      <w:bookmarkStart w:id="2" w:name="1fob9te" w:colFirst="0" w:colLast="0"/>
      <w:bookmarkEnd w:id="1"/>
      <w:bookmarkEnd w:id="2"/>
      <w:r w:rsidRPr="00980C22">
        <w:rPr>
          <w:rFonts w:ascii="Arial" w:hAnsi="Arial" w:cs="Arial"/>
          <w:b/>
          <w:color w:val="000000"/>
          <w:sz w:val="20"/>
          <w:szCs w:val="20"/>
        </w:rPr>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7726AFEF" w14:textId="0627A889" w:rsidR="006649E3" w:rsidRDefault="006649E3"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Pr>
          <w:rFonts w:ascii="Arial" w:hAnsi="Arial" w:cs="Arial"/>
          <w:color w:val="000000"/>
          <w:sz w:val="20"/>
          <w:szCs w:val="20"/>
        </w:rPr>
        <w:t xml:space="preserve">One of the most important problems in epidemiology is </w:t>
      </w:r>
      <w:r w:rsidR="008438FB">
        <w:rPr>
          <w:rFonts w:ascii="Arial" w:hAnsi="Arial" w:cs="Arial"/>
          <w:color w:val="000000"/>
          <w:sz w:val="20"/>
          <w:szCs w:val="20"/>
        </w:rPr>
        <w:t>to quantify and understand transmission.</w:t>
      </w:r>
    </w:p>
    <w:p w14:paraId="043710AA" w14:textId="272CA79B"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commentRangeStart w:id="3"/>
      <w:r w:rsidRPr="00DE40F4">
        <w:rPr>
          <w:rFonts w:ascii="Arial" w:hAnsi="Arial" w:cs="Arial"/>
          <w:color w:val="000000"/>
          <w:sz w:val="20"/>
          <w:szCs w:val="20"/>
        </w:rPr>
        <w:t>Antimicrobial-resistant organisms (AMROs) are a major threat to public health</w:t>
      </w:r>
      <w:commentRangeEnd w:id="3"/>
      <w:r w:rsidR="0063202C">
        <w:rPr>
          <w:rStyle w:val="CommentReference"/>
          <w:rFonts w:ascii="Times New Roman" w:eastAsia="Times New Roman" w:hAnsi="Times New Roman" w:cs="Times New Roman"/>
        </w:rPr>
        <w:commentReference w:id="3"/>
      </w:r>
      <w:r w:rsidRPr="00DE40F4">
        <w:rPr>
          <w:rFonts w:ascii="Arial" w:hAnsi="Arial" w:cs="Arial"/>
          <w:color w:val="000000"/>
          <w:sz w:val="20"/>
          <w:szCs w:val="20"/>
        </w:rPr>
        <w:t>. These organisms increase mortality, hospital length of stay, and</w:t>
      </w:r>
      <w:r w:rsidR="00474FFE">
        <w:rPr>
          <w:rFonts w:ascii="Arial" w:hAnsi="Arial" w:cs="Arial"/>
          <w:color w:val="000000"/>
          <w:sz w:val="20"/>
          <w:szCs w:val="20"/>
        </w:rPr>
        <w:t xml:space="preserve"> in consequence</w:t>
      </w:r>
      <w:r w:rsidRPr="00DE40F4">
        <w:rPr>
          <w:rFonts w:ascii="Arial" w:hAnsi="Arial" w:cs="Arial"/>
          <w:color w:val="000000"/>
          <w:sz w:val="20"/>
          <w:szCs w:val="20"/>
        </w:rPr>
        <w:t xml:space="preserve">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AMROs are present in both hospitals and the broader community; however, information on AMRO</w:t>
      </w:r>
      <w:r w:rsidR="00474FFE">
        <w:rPr>
          <w:rFonts w:ascii="Arial" w:hAnsi="Arial" w:cs="Arial"/>
          <w:color w:val="000000"/>
          <w:sz w:val="20"/>
          <w:szCs w:val="20"/>
        </w:rPr>
        <w:t xml:space="preserve"> carriage rates and</w:t>
      </w:r>
      <w:r w:rsidRPr="00DE40F4">
        <w:rPr>
          <w:rFonts w:ascii="Arial" w:hAnsi="Arial" w:cs="Arial"/>
          <w:color w:val="000000"/>
          <w:sz w:val="20"/>
          <w:szCs w:val="20"/>
        </w:rPr>
        <w:t xml:space="preserve">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D3DD5" w:rsidRPr="00321B8A">
        <w:rPr>
          <w:rFonts w:ascii="Arial" w:hAnsi="Arial" w:cs="Arial"/>
          <w:color w:val="FF0000"/>
          <w:sz w:val="20"/>
          <w:szCs w:val="20"/>
        </w:rPr>
        <w:t>detection</w:t>
      </w:r>
      <w:r w:rsidRPr="00321B8A">
        <w:rPr>
          <w:rFonts w:ascii="Arial" w:hAnsi="Arial" w:cs="Arial"/>
          <w:color w:val="FF0000"/>
          <w:sz w:val="20"/>
          <w:szCs w:val="20"/>
        </w:rPr>
        <w:t xml:space="preserve"> </w:t>
      </w:r>
      <w:r w:rsidRPr="00DE40F4">
        <w:rPr>
          <w:rFonts w:ascii="Arial" w:hAnsi="Arial" w:cs="Arial"/>
          <w:color w:val="000000"/>
          <w:sz w:val="20"/>
          <w:szCs w:val="20"/>
        </w:rPr>
        <w:t xml:space="preserve">and </w:t>
      </w:r>
      <w:r w:rsidR="00BA2451">
        <w:rPr>
          <w:rFonts w:ascii="Arial" w:hAnsi="Arial" w:cs="Arial"/>
          <w:color w:val="000000"/>
          <w:sz w:val="20"/>
          <w:szCs w:val="20"/>
        </w:rPr>
        <w:t xml:space="preserve">nosocomial </w:t>
      </w:r>
      <w:r w:rsidRPr="00DE40F4">
        <w:rPr>
          <w:rFonts w:ascii="Arial" w:hAnsi="Arial" w:cs="Arial"/>
          <w:color w:val="000000"/>
          <w:sz w:val="20"/>
          <w:szCs w:val="20"/>
        </w:rPr>
        <w:t>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 xml:space="preserve">admission, transfer, and discharge 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w:t>
      </w:r>
      <w:r w:rsidR="00474FFE">
        <w:rPr>
          <w:rFonts w:ascii="Arial" w:hAnsi="Arial" w:cs="Arial"/>
          <w:color w:val="000000"/>
          <w:sz w:val="20"/>
          <w:szCs w:val="20"/>
        </w:rPr>
        <w:t xml:space="preserve"> </w:t>
      </w:r>
      <w:r w:rsidRPr="00DE40F4">
        <w:rPr>
          <w:rFonts w:ascii="Arial" w:hAnsi="Arial" w:cs="Arial"/>
          <w:color w:val="000000"/>
          <w:sz w:val="20"/>
          <w:szCs w:val="20"/>
        </w:rPr>
        <w:t xml:space="preserve">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bias in the inference is caused by the structural identifiability or by the inherent stochasticity of the model</w:t>
      </w:r>
      <w:r w:rsidR="00B63D08">
        <w:rPr>
          <w:rFonts w:ascii="Arial" w:hAnsi="Arial" w:cs="Arial"/>
          <w:color w:val="000000"/>
          <w:sz w:val="20"/>
          <w:szCs w:val="20"/>
        </w:rPr>
        <w:t>.</w:t>
      </w:r>
      <w:r w:rsidR="00F94356">
        <w:rPr>
          <w:rFonts w:ascii="Arial" w:hAnsi="Arial" w:cs="Arial"/>
          <w:color w:val="000000"/>
          <w:sz w:val="20"/>
          <w:szCs w:val="20"/>
        </w:rPr>
        <w:t xml:space="preserve"> </w:t>
      </w:r>
      <w:r w:rsidR="00B63D08">
        <w:rPr>
          <w:rFonts w:ascii="Arial" w:hAnsi="Arial" w:cs="Arial"/>
          <w:color w:val="000000"/>
          <w:sz w:val="20"/>
          <w:szCs w:val="20"/>
        </w:rPr>
        <w:t>We applied</w:t>
      </w:r>
      <w:r w:rsidRPr="00DE40F4">
        <w:rPr>
          <w:rFonts w:ascii="Arial" w:hAnsi="Arial" w:cs="Arial"/>
          <w:color w:val="000000"/>
          <w:sz w:val="20"/>
          <w:szCs w:val="20"/>
        </w:rPr>
        <w:t xml:space="preserve"> the framework to estimate both quantities for seven prevalent </w:t>
      </w:r>
      <w:r w:rsidR="008E3088">
        <w:rPr>
          <w:rFonts w:ascii="Arial" w:hAnsi="Arial" w:cs="Arial"/>
          <w:color w:val="000000"/>
          <w:sz w:val="20"/>
          <w:szCs w:val="20"/>
        </w:rPr>
        <w:t>microorganisms</w:t>
      </w:r>
      <w:r w:rsidR="00033A03">
        <w:rPr>
          <w:rFonts w:ascii="Arial" w:hAnsi="Arial" w:cs="Arial"/>
          <w:color w:val="000000"/>
          <w:sz w:val="20"/>
          <w:szCs w:val="20"/>
        </w:rPr>
        <w:t xml:space="preserve"> species</w:t>
      </w:r>
      <w:r w:rsidRPr="00DE40F4">
        <w:rPr>
          <w:rFonts w:ascii="Arial" w:hAnsi="Arial" w:cs="Arial"/>
          <w:color w:val="000000"/>
          <w:sz w:val="20"/>
          <w:szCs w:val="20"/>
        </w:rPr>
        <w:t xml:space="preserve">: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p>
    <w:p w14:paraId="3BA52D4A" w14:textId="0D97389C" w:rsidR="0063202C"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w:t>
      </w:r>
      <w:r w:rsidR="00170E3A">
        <w:rPr>
          <w:rFonts w:ascii="Arial" w:hAnsi="Arial" w:cs="Arial"/>
          <w:color w:val="000000"/>
          <w:sz w:val="20"/>
          <w:szCs w:val="20"/>
        </w:rPr>
        <w:t>simulation based inference</w:t>
      </w:r>
      <w:r w:rsidRPr="00DE40F4">
        <w:rPr>
          <w:rFonts w:ascii="Arial" w:hAnsi="Arial" w:cs="Arial"/>
          <w:color w:val="000000"/>
          <w:sz w:val="20"/>
          <w:szCs w:val="20"/>
        </w:rPr>
        <w:t xml:space="preserve">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w:t>
      </w:r>
      <w:r w:rsidR="0063202C">
        <w:rPr>
          <w:rFonts w:ascii="Arial" w:hAnsi="Arial" w:cs="Arial"/>
          <w:color w:val="000000"/>
          <w:sz w:val="20"/>
          <w:szCs w:val="20"/>
        </w:rPr>
        <w:t xml:space="preserve">How </w:t>
      </w:r>
      <w:r w:rsidR="004B562A">
        <w:rPr>
          <w:rFonts w:ascii="Arial" w:hAnsi="Arial" w:cs="Arial"/>
          <w:color w:val="000000"/>
          <w:sz w:val="20"/>
          <w:szCs w:val="20"/>
        </w:rPr>
        <w:t>t</w:t>
      </w:r>
      <w:r w:rsidR="00170E3A">
        <w:rPr>
          <w:rFonts w:ascii="Arial" w:hAnsi="Arial" w:cs="Arial"/>
          <w:color w:val="000000"/>
          <w:sz w:val="20"/>
          <w:szCs w:val="20"/>
        </w:rPr>
        <w:t xml:space="preserve">he </w:t>
      </w:r>
      <w:r w:rsidR="0063202C">
        <w:rPr>
          <w:rFonts w:ascii="Arial" w:hAnsi="Arial" w:cs="Arial"/>
          <w:color w:val="000000"/>
          <w:sz w:val="20"/>
          <w:szCs w:val="20"/>
        </w:rPr>
        <w:lastRenderedPageBreak/>
        <w:t>desi</w:t>
      </w:r>
      <w:r w:rsidR="00263BFB">
        <w:rPr>
          <w:rFonts w:ascii="Arial" w:hAnsi="Arial" w:cs="Arial"/>
          <w:color w:val="000000"/>
          <w:sz w:val="20"/>
          <w:szCs w:val="20"/>
        </w:rPr>
        <w:t>gn</w:t>
      </w:r>
      <w:r w:rsidR="0063202C">
        <w:rPr>
          <w:rFonts w:ascii="Arial" w:hAnsi="Arial" w:cs="Arial"/>
          <w:color w:val="000000"/>
          <w:sz w:val="20"/>
          <w:szCs w:val="20"/>
        </w:rPr>
        <w:t xml:space="preserve"> of a detailed individual-level observational model </w:t>
      </w:r>
      <w:r w:rsidR="004B562A">
        <w:rPr>
          <w:rFonts w:ascii="Arial" w:hAnsi="Arial" w:cs="Arial"/>
          <w:color w:val="000000"/>
          <w:sz w:val="20"/>
          <w:szCs w:val="20"/>
        </w:rPr>
        <w:t xml:space="preserve">does </w:t>
      </w:r>
      <w:r w:rsidR="0063202C">
        <w:rPr>
          <w:rFonts w:ascii="Arial" w:hAnsi="Arial" w:cs="Arial"/>
          <w:color w:val="000000"/>
          <w:sz w:val="20"/>
          <w:szCs w:val="20"/>
        </w:rPr>
        <w:t>improve parameter identifiability</w:t>
      </w:r>
      <w:r w:rsidR="004B562A">
        <w:rPr>
          <w:rFonts w:ascii="Arial" w:hAnsi="Arial" w:cs="Arial"/>
          <w:color w:val="000000"/>
          <w:sz w:val="20"/>
          <w:szCs w:val="20"/>
        </w:rPr>
        <w:t>, compated to a population level observational model.</w:t>
      </w:r>
    </w:p>
    <w:p w14:paraId="718EA30F" w14:textId="1386F657"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119741A7"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6D712025" w14:textId="77777777" w:rsidR="0031564A" w:rsidRPr="00980C22" w:rsidRDefault="0031564A"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2C23C5D" w14:textId="45261016" w:rsidR="002876C6" w:rsidRDefault="001917DA" w:rsidP="009D3DD5">
      <w:pPr>
        <w:spacing w:line="360" w:lineRule="auto"/>
        <w:jc w:val="both"/>
        <w:rPr>
          <w:rFonts w:ascii="Arial" w:hAnsi="Arial" w:cs="Arial"/>
          <w:sz w:val="20"/>
          <w:szCs w:val="20"/>
        </w:rPr>
      </w:pPr>
      <w:r w:rsidRPr="00C8522B">
        <w:rPr>
          <w:rFonts w:ascii="Arial" w:hAnsi="Arial" w:cs="Arial"/>
          <w:sz w:val="20"/>
          <w:szCs w:val="20"/>
        </w:rPr>
        <w:t>Anti</w:t>
      </w:r>
      <w:r>
        <w:rPr>
          <w:rFonts w:ascii="Arial" w:hAnsi="Arial" w:cs="Arial"/>
          <w:sz w:val="20"/>
          <w:szCs w:val="20"/>
        </w:rPr>
        <w:t>b</w:t>
      </w:r>
      <w:r w:rsidRPr="00C8522B">
        <w:rPr>
          <w:rFonts w:ascii="Arial" w:hAnsi="Arial" w:cs="Arial"/>
          <w:sz w:val="20"/>
          <w:szCs w:val="20"/>
        </w:rPr>
        <w:t>i</w:t>
      </w:r>
      <w:r>
        <w:rPr>
          <w:rFonts w:ascii="Arial" w:hAnsi="Arial" w:cs="Arial"/>
          <w:sz w:val="20"/>
          <w:szCs w:val="20"/>
        </w:rPr>
        <w:t>otic</w:t>
      </w:r>
      <w:r w:rsidRPr="00C8522B">
        <w:rPr>
          <w:rFonts w:ascii="Arial" w:hAnsi="Arial" w:cs="Arial"/>
          <w:sz w:val="20"/>
          <w:szCs w:val="20"/>
        </w:rPr>
        <w:t xml:space="preserve"> </w:t>
      </w:r>
      <w:r w:rsidR="005E4095" w:rsidRPr="00C8522B">
        <w:rPr>
          <w:rFonts w:ascii="Arial" w:hAnsi="Arial" w:cs="Arial"/>
          <w:sz w:val="20"/>
          <w:szCs w:val="20"/>
        </w:rPr>
        <w:t>resistance</w:t>
      </w:r>
      <w:r w:rsidR="009914B1">
        <w:rPr>
          <w:rFonts w:ascii="Arial" w:hAnsi="Arial" w:cs="Arial"/>
          <w:sz w:val="20"/>
          <w:szCs w:val="20"/>
        </w:rPr>
        <w:t xml:space="preserve"> </w:t>
      </w:r>
      <w:r w:rsidR="009C49CA">
        <w:rPr>
          <w:rFonts w:ascii="Arial" w:hAnsi="Arial" w:cs="Arial"/>
          <w:sz w:val="20"/>
          <w:szCs w:val="20"/>
        </w:rPr>
        <w:t>micro</w:t>
      </w:r>
      <w:r w:rsidR="009914B1">
        <w:rPr>
          <w:rFonts w:ascii="Arial" w:hAnsi="Arial" w:cs="Arial"/>
          <w:sz w:val="20"/>
          <w:szCs w:val="20"/>
        </w:rPr>
        <w:t>organisms</w:t>
      </w:r>
      <w:r w:rsidR="005E4095" w:rsidRPr="00C8522B">
        <w:rPr>
          <w:rFonts w:ascii="Arial" w:hAnsi="Arial" w:cs="Arial"/>
          <w:sz w:val="20"/>
          <w:szCs w:val="20"/>
        </w:rPr>
        <w:t xml:space="preserve"> (A</w:t>
      </w:r>
      <w:r w:rsidR="006C11F0">
        <w:rPr>
          <w:rFonts w:ascii="Arial" w:hAnsi="Arial" w:cs="Arial"/>
          <w:sz w:val="20"/>
          <w:szCs w:val="20"/>
        </w:rPr>
        <w:t>B</w:t>
      </w:r>
      <w:r w:rsidR="005E4095" w:rsidRPr="00C8522B">
        <w:rPr>
          <w:rFonts w:ascii="Arial" w:hAnsi="Arial" w:cs="Arial"/>
          <w:sz w:val="20"/>
          <w:szCs w:val="20"/>
        </w:rPr>
        <w:t>R</w:t>
      </w:r>
      <w:r w:rsidR="003B4542">
        <w:rPr>
          <w:rFonts w:ascii="Arial" w:hAnsi="Arial" w:cs="Arial"/>
          <w:sz w:val="20"/>
          <w:szCs w:val="20"/>
        </w:rPr>
        <w:t>O</w:t>
      </w:r>
      <w:r w:rsidR="005E4095" w:rsidRPr="00C8522B">
        <w:rPr>
          <w:rFonts w:ascii="Arial" w:hAnsi="Arial" w:cs="Arial"/>
          <w:sz w:val="20"/>
          <w:szCs w:val="20"/>
        </w:rPr>
        <w:t xml:space="preserve">) </w:t>
      </w:r>
      <w:r w:rsidR="009914B1">
        <w:rPr>
          <w:rFonts w:ascii="Arial" w:hAnsi="Arial" w:cs="Arial"/>
          <w:sz w:val="20"/>
          <w:szCs w:val="20"/>
        </w:rPr>
        <w:t>are</w:t>
      </w:r>
      <w:r w:rsidR="005E4095" w:rsidRPr="00C8522B">
        <w:rPr>
          <w:rFonts w:ascii="Arial" w:hAnsi="Arial" w:cs="Arial"/>
          <w:sz w:val="20"/>
          <w:szCs w:val="20"/>
        </w:rPr>
        <w:t xml:space="preserve"> a major threat to human health worldwide and </w:t>
      </w:r>
      <w:r w:rsidR="005E4095">
        <w:rPr>
          <w:rFonts w:ascii="Arial" w:hAnsi="Arial" w:cs="Arial"/>
          <w:sz w:val="20"/>
          <w:szCs w:val="20"/>
        </w:rPr>
        <w:t xml:space="preserve">has </w:t>
      </w:r>
      <w:r w:rsidR="005E4095" w:rsidRPr="00C8522B">
        <w:rPr>
          <w:rFonts w:ascii="Arial" w:hAnsi="Arial" w:cs="Arial"/>
          <w:sz w:val="20"/>
          <w:szCs w:val="20"/>
        </w:rPr>
        <w:t>emerged as one of the leading public threats of the 21</w:t>
      </w:r>
      <w:r w:rsidR="005E4095" w:rsidRPr="00C8522B">
        <w:rPr>
          <w:rFonts w:ascii="Arial" w:hAnsi="Arial" w:cs="Arial"/>
          <w:sz w:val="20"/>
          <w:szCs w:val="20"/>
          <w:vertAlign w:val="superscript"/>
        </w:rPr>
        <w:t xml:space="preserve">st  </w:t>
      </w:r>
      <w:r w:rsidR="005E4095" w:rsidRPr="00C8522B">
        <w:rPr>
          <w:rFonts w:ascii="Arial" w:hAnsi="Arial" w:cs="Arial"/>
          <w:sz w:val="20"/>
          <w:szCs w:val="20"/>
        </w:rPr>
        <w:t xml:space="preserve">century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An estimated 4.95 million deaths were associated with bacterial A</w:t>
      </w:r>
      <w:r w:rsidR="006C11F0">
        <w:rPr>
          <w:rFonts w:ascii="Arial" w:hAnsi="Arial" w:cs="Arial"/>
          <w:sz w:val="20"/>
          <w:szCs w:val="20"/>
        </w:rPr>
        <w:t>B</w:t>
      </w:r>
      <w:r w:rsidR="005E4095">
        <w:rPr>
          <w:rFonts w:ascii="Arial" w:hAnsi="Arial" w:cs="Arial"/>
          <w:sz w:val="20"/>
          <w:szCs w:val="20"/>
        </w:rPr>
        <w:t>R in 2019 globally, and mortality caused by A</w:t>
      </w:r>
      <w:r w:rsidR="006C11F0">
        <w:rPr>
          <w:rFonts w:ascii="Arial" w:hAnsi="Arial" w:cs="Arial"/>
          <w:sz w:val="20"/>
          <w:szCs w:val="20"/>
        </w:rPr>
        <w:t>B</w:t>
      </w:r>
      <w:r w:rsidR="005E4095">
        <w:rPr>
          <w:rFonts w:ascii="Arial" w:hAnsi="Arial" w:cs="Arial"/>
          <w:sz w:val="20"/>
          <w:szCs w:val="20"/>
        </w:rPr>
        <w:t xml:space="preserve">R is projected to reach 10 million by 2050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F01F89">
        <w:rPr>
          <w:rFonts w:ascii="Arial" w:hAnsi="Arial" w:cs="Arial"/>
          <w:sz w:val="20"/>
          <w:szCs w:val="20"/>
        </w:rPr>
        <w:t xml:space="preserve">, </w:t>
      </w:r>
      <w:r w:rsidR="005E5879">
        <w:rPr>
          <w:rFonts w:ascii="Arial" w:hAnsi="Arial" w:cs="Arial"/>
          <w:sz w:val="20"/>
          <w:szCs w:val="20"/>
        </w:rPr>
        <w:t>although</w:t>
      </w:r>
      <w:r w:rsidR="00F01F89">
        <w:rPr>
          <w:rFonts w:ascii="Arial" w:hAnsi="Arial" w:cs="Arial"/>
          <w:sz w:val="20"/>
          <w:szCs w:val="20"/>
        </w:rPr>
        <w:t xml:space="preserve"> more rigorous projections XXX</w:t>
      </w:r>
      <w:r w:rsidR="005E4095">
        <w:rPr>
          <w:rFonts w:ascii="Arial" w:hAnsi="Arial" w:cs="Arial"/>
          <w:sz w:val="20"/>
          <w:szCs w:val="20"/>
        </w:rPr>
        <w:t>.</w:t>
      </w:r>
      <w:r w:rsidR="005E4095" w:rsidRPr="00C8522B">
        <w:rPr>
          <w:rFonts w:ascii="Arial" w:hAnsi="Arial" w:cs="Arial"/>
          <w:sz w:val="20"/>
          <w:szCs w:val="20"/>
        </w:rPr>
        <w:t xml:space="preserve"> </w:t>
      </w:r>
      <w:r w:rsidR="005E4095">
        <w:rPr>
          <w:rFonts w:ascii="Arial" w:hAnsi="Arial" w:cs="Arial"/>
          <w:sz w:val="20"/>
          <w:szCs w:val="20"/>
        </w:rPr>
        <w:t>Hospital-acquired</w:t>
      </w:r>
      <w:r w:rsidR="005E4095" w:rsidRPr="00C8522B">
        <w:rPr>
          <w:rFonts w:ascii="Arial" w:hAnsi="Arial" w:cs="Arial"/>
          <w:sz w:val="20"/>
          <w:szCs w:val="20"/>
        </w:rPr>
        <w:t xml:space="preserve"> (nosocomial) infection</w:t>
      </w:r>
      <w:r w:rsidR="005E4095">
        <w:rPr>
          <w:rFonts w:ascii="Arial" w:hAnsi="Arial" w:cs="Arial"/>
          <w:sz w:val="20"/>
          <w:szCs w:val="20"/>
        </w:rPr>
        <w:t>s by</w:t>
      </w:r>
      <w:r w:rsidR="00010D7D">
        <w:rPr>
          <w:rFonts w:ascii="Arial" w:hAnsi="Arial" w:cs="Arial"/>
          <w:sz w:val="20"/>
          <w:szCs w:val="20"/>
        </w:rPr>
        <w:t xml:space="preserve"> bacterial pathogens including those resistant to antibiotics</w:t>
      </w:r>
      <w:r w:rsidR="005E4095" w:rsidRPr="00C8522B">
        <w:rPr>
          <w:rFonts w:ascii="Arial" w:hAnsi="Arial" w:cs="Arial"/>
          <w:sz w:val="20"/>
          <w:szCs w:val="20"/>
        </w:rPr>
        <w:t xml:space="preserve"> </w:t>
      </w:r>
      <w:r w:rsidR="005E4095">
        <w:rPr>
          <w:rFonts w:ascii="Arial" w:hAnsi="Arial" w:cs="Arial"/>
          <w:sz w:val="20"/>
          <w:szCs w:val="20"/>
        </w:rPr>
        <w:t>are</w:t>
      </w:r>
      <w:r w:rsidR="005E4095" w:rsidRPr="00C8522B">
        <w:rPr>
          <w:rFonts w:ascii="Arial" w:hAnsi="Arial" w:cs="Arial"/>
          <w:sz w:val="20"/>
          <w:szCs w:val="20"/>
        </w:rPr>
        <w:t xml:space="preserve"> a major contributor to mortality, length of stay</w:t>
      </w:r>
      <w:r w:rsidR="005E4095">
        <w:rPr>
          <w:rFonts w:ascii="Arial" w:hAnsi="Arial" w:cs="Arial"/>
          <w:sz w:val="20"/>
          <w:szCs w:val="20"/>
        </w:rPr>
        <w:t xml:space="preserve"> in hospital</w:t>
      </w:r>
      <w:r w:rsidR="005E4095" w:rsidRPr="00C8522B">
        <w:rPr>
          <w:rFonts w:ascii="Arial" w:hAnsi="Arial" w:cs="Arial"/>
          <w:sz w:val="20"/>
          <w:szCs w:val="20"/>
        </w:rPr>
        <w:t xml:space="preserve"> and health-care associated cost</w:t>
      </w:r>
      <w:r w:rsidR="005E4095">
        <w:rPr>
          <w:rFonts w:ascii="Arial" w:hAnsi="Arial" w:cs="Arial"/>
          <w:sz w:val="20"/>
          <w:szCs w:val="20"/>
        </w:rPr>
        <w:t xml:space="preserve">s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Understanding</w:t>
      </w:r>
      <w:r w:rsidR="005E4095" w:rsidRPr="00C8522B">
        <w:rPr>
          <w:rFonts w:ascii="Arial" w:hAnsi="Arial" w:cs="Arial"/>
          <w:sz w:val="20"/>
          <w:szCs w:val="20"/>
        </w:rPr>
        <w:t xml:space="preserve"> the burden and spread of </w:t>
      </w:r>
      <w:r w:rsidR="00D370BD">
        <w:rPr>
          <w:rFonts w:ascii="Arial" w:hAnsi="Arial" w:cs="Arial"/>
          <w:sz w:val="20"/>
          <w:szCs w:val="20"/>
        </w:rPr>
        <w:t>ABR pathogens</w:t>
      </w:r>
      <w:r w:rsidR="005E4095">
        <w:rPr>
          <w:rFonts w:ascii="Arial" w:hAnsi="Arial" w:cs="Arial"/>
          <w:sz w:val="20"/>
          <w:szCs w:val="20"/>
        </w:rPr>
        <w:t>, and microorganisms in general, within hospital settings,</w:t>
      </w:r>
      <w:r w:rsidR="005E4095" w:rsidRPr="00C8522B">
        <w:rPr>
          <w:rFonts w:ascii="Arial" w:hAnsi="Arial" w:cs="Arial"/>
          <w:sz w:val="20"/>
          <w:szCs w:val="20"/>
        </w:rPr>
        <w:t xml:space="preserve"> is </w:t>
      </w:r>
      <w:r w:rsidR="005E4095">
        <w:rPr>
          <w:rFonts w:ascii="Arial" w:hAnsi="Arial" w:cs="Arial"/>
          <w:sz w:val="20"/>
          <w:szCs w:val="20"/>
        </w:rPr>
        <w:t>critical for effective control planning</w:t>
      </w:r>
      <w:r w:rsidR="0067565D">
        <w:rPr>
          <w:rFonts w:ascii="Arial" w:hAnsi="Arial" w:cs="Arial"/>
          <w:sz w:val="20"/>
          <w:szCs w:val="20"/>
        </w:rPr>
        <w:t xml:space="preserve"> and </w:t>
      </w:r>
      <w:r w:rsidR="00D07068">
        <w:rPr>
          <w:rFonts w:ascii="Arial" w:hAnsi="Arial" w:cs="Arial"/>
          <w:sz w:val="20"/>
          <w:szCs w:val="20"/>
        </w:rPr>
        <w:t>des</w:t>
      </w:r>
      <w:r w:rsidR="004E4A36">
        <w:rPr>
          <w:rFonts w:ascii="Arial" w:hAnsi="Arial" w:cs="Arial"/>
          <w:sz w:val="20"/>
          <w:szCs w:val="20"/>
        </w:rPr>
        <w:t>i</w:t>
      </w:r>
      <w:r w:rsidR="00D07068">
        <w:rPr>
          <w:rFonts w:ascii="Arial" w:hAnsi="Arial" w:cs="Arial"/>
          <w:sz w:val="20"/>
          <w:szCs w:val="20"/>
        </w:rPr>
        <w:t>g</w:t>
      </w:r>
      <w:r w:rsidR="004E4A36">
        <w:rPr>
          <w:rFonts w:ascii="Arial" w:hAnsi="Arial" w:cs="Arial"/>
          <w:sz w:val="20"/>
          <w:szCs w:val="20"/>
        </w:rPr>
        <w:t>n</w:t>
      </w:r>
      <w:r w:rsidR="00D07068">
        <w:rPr>
          <w:rFonts w:ascii="Arial" w:hAnsi="Arial" w:cs="Arial"/>
          <w:sz w:val="20"/>
          <w:szCs w:val="20"/>
        </w:rPr>
        <w:t xml:space="preserve"> of </w:t>
      </w:r>
      <w:r w:rsidR="0067565D">
        <w:rPr>
          <w:rFonts w:ascii="Arial" w:hAnsi="Arial" w:cs="Arial"/>
          <w:sz w:val="20"/>
          <w:szCs w:val="20"/>
        </w:rPr>
        <w:t>testing/culture protocols</w:t>
      </w:r>
      <w:r w:rsidR="005E4095">
        <w:rPr>
          <w:rFonts w:ascii="Arial" w:hAnsi="Arial" w:cs="Arial"/>
          <w:sz w:val="20"/>
          <w:szCs w:val="20"/>
        </w:rPr>
        <w:t xml:space="preserve">; however, quantification of these characteristics remains challenging due to limited observation of </w:t>
      </w:r>
      <w:r w:rsidR="004737A3">
        <w:rPr>
          <w:rFonts w:ascii="Arial" w:hAnsi="Arial" w:cs="Arial"/>
          <w:sz w:val="20"/>
          <w:szCs w:val="20"/>
        </w:rPr>
        <w:t>microorganism</w:t>
      </w:r>
      <w:r w:rsidR="008307A7">
        <w:rPr>
          <w:rFonts w:ascii="Arial" w:hAnsi="Arial" w:cs="Arial"/>
          <w:sz w:val="20"/>
          <w:szCs w:val="20"/>
        </w:rPr>
        <w:t>s</w:t>
      </w:r>
      <w:r w:rsidR="005E4095">
        <w:rPr>
          <w:rFonts w:ascii="Arial" w:hAnsi="Arial" w:cs="Arial"/>
          <w:sz w:val="20"/>
          <w:szCs w:val="20"/>
        </w:rPr>
        <w:t xml:space="preserve"> carriage</w:t>
      </w:r>
      <w:r w:rsidR="004E5C12">
        <w:rPr>
          <w:rFonts w:ascii="Arial" w:hAnsi="Arial" w:cs="Arial"/>
          <w:sz w:val="20"/>
          <w:szCs w:val="20"/>
        </w:rPr>
        <w:t>,</w:t>
      </w:r>
      <w:r w:rsidR="005E4095">
        <w:rPr>
          <w:rFonts w:ascii="Arial" w:hAnsi="Arial" w:cs="Arial"/>
          <w:sz w:val="20"/>
          <w:szCs w:val="20"/>
        </w:rPr>
        <w:t xml:space="preserve"> difficulty assessing interventions in real-world </w:t>
      </w:r>
      <w:r w:rsidR="008307A7">
        <w:rPr>
          <w:rFonts w:ascii="Arial" w:hAnsi="Arial" w:cs="Arial"/>
          <w:sz w:val="20"/>
          <w:szCs w:val="20"/>
        </w:rPr>
        <w:t xml:space="preserve">hospital </w:t>
      </w:r>
      <w:r w:rsidR="005E4095">
        <w:rPr>
          <w:rFonts w:ascii="Arial" w:hAnsi="Arial" w:cs="Arial"/>
          <w:sz w:val="20"/>
          <w:szCs w:val="20"/>
        </w:rPr>
        <w:t>settings</w:t>
      </w:r>
      <w:r w:rsidR="004E5C12">
        <w:rPr>
          <w:rFonts w:ascii="Arial" w:hAnsi="Arial" w:cs="Arial"/>
          <w:sz w:val="20"/>
          <w:szCs w:val="20"/>
        </w:rPr>
        <w:t xml:space="preserve">, and </w:t>
      </w:r>
      <w:r w:rsidR="000A5327" w:rsidRPr="00321B8A">
        <w:rPr>
          <w:rFonts w:ascii="Arial" w:hAnsi="Arial" w:cs="Arial"/>
          <w:color w:val="000000" w:themeColor="text1"/>
          <w:sz w:val="20"/>
          <w:szCs w:val="20"/>
        </w:rPr>
        <w:t>incomplete understanding of the mechanism</w:t>
      </w:r>
      <w:r w:rsidR="004E5C12" w:rsidRPr="00321B8A">
        <w:rPr>
          <w:rFonts w:ascii="Arial" w:hAnsi="Arial" w:cs="Arial"/>
          <w:color w:val="000000" w:themeColor="text1"/>
          <w:sz w:val="20"/>
          <w:szCs w:val="20"/>
        </w:rPr>
        <w:t>s</w:t>
      </w:r>
      <w:r w:rsidR="000A5327" w:rsidRPr="00321B8A">
        <w:rPr>
          <w:rFonts w:ascii="Arial" w:hAnsi="Arial" w:cs="Arial"/>
          <w:color w:val="000000" w:themeColor="text1"/>
          <w:sz w:val="20"/>
          <w:szCs w:val="20"/>
        </w:rPr>
        <w:t xml:space="preserve"> shaping the coexistence</w:t>
      </w:r>
      <w:r w:rsidR="0063202C">
        <w:rPr>
          <w:rFonts w:ascii="Arial" w:hAnsi="Arial" w:cs="Arial"/>
          <w:color w:val="000000" w:themeColor="text1"/>
          <w:sz w:val="20"/>
          <w:szCs w:val="20"/>
        </w:rPr>
        <w:t xml:space="preserve"> (both within and between hosts)</w:t>
      </w:r>
      <w:r w:rsidR="000A5327" w:rsidRPr="00321B8A">
        <w:rPr>
          <w:rFonts w:ascii="Arial" w:hAnsi="Arial" w:cs="Arial"/>
          <w:color w:val="000000" w:themeColor="text1"/>
          <w:sz w:val="20"/>
          <w:szCs w:val="20"/>
        </w:rPr>
        <w:t xml:space="preserve"> of</w:t>
      </w:r>
      <w:r w:rsidR="00321B8A" w:rsidRPr="00321B8A">
        <w:rPr>
          <w:rFonts w:ascii="Arial" w:hAnsi="Arial" w:cs="Arial"/>
          <w:color w:val="000000" w:themeColor="text1"/>
          <w:sz w:val="20"/>
          <w:szCs w:val="20"/>
        </w:rPr>
        <w:t xml:space="preserve"> different microbial species as well as</w:t>
      </w:r>
      <w:r w:rsidR="000A5327" w:rsidRPr="00321B8A">
        <w:rPr>
          <w:rFonts w:ascii="Arial" w:hAnsi="Arial" w:cs="Arial"/>
          <w:color w:val="000000" w:themeColor="text1"/>
          <w:sz w:val="20"/>
          <w:szCs w:val="20"/>
        </w:rPr>
        <w:t xml:space="preserve"> </w:t>
      </w:r>
      <w:r w:rsidR="008307A7">
        <w:rPr>
          <w:rFonts w:ascii="Arial" w:hAnsi="Arial" w:cs="Arial"/>
          <w:color w:val="000000" w:themeColor="text1"/>
          <w:sz w:val="20"/>
          <w:szCs w:val="20"/>
        </w:rPr>
        <w:t xml:space="preserve">same species </w:t>
      </w:r>
      <w:r w:rsidR="000A5327" w:rsidRPr="00321B8A">
        <w:rPr>
          <w:rFonts w:ascii="Arial" w:hAnsi="Arial" w:cs="Arial"/>
          <w:color w:val="000000" w:themeColor="text1"/>
          <w:sz w:val="20"/>
          <w:szCs w:val="20"/>
        </w:rPr>
        <w:t>antibiotic-resistan</w:t>
      </w:r>
      <w:r w:rsidR="004E5C12" w:rsidRPr="00321B8A">
        <w:rPr>
          <w:rFonts w:ascii="Arial" w:hAnsi="Arial" w:cs="Arial"/>
          <w:color w:val="000000" w:themeColor="text1"/>
          <w:sz w:val="20"/>
          <w:szCs w:val="20"/>
        </w:rPr>
        <w:t>t</w:t>
      </w:r>
      <w:r w:rsidR="000A5327" w:rsidRPr="00321B8A">
        <w:rPr>
          <w:rFonts w:ascii="Arial" w:hAnsi="Arial" w:cs="Arial"/>
          <w:color w:val="000000" w:themeColor="text1"/>
          <w:sz w:val="20"/>
          <w:szCs w:val="20"/>
        </w:rPr>
        <w:t xml:space="preserve"> and </w:t>
      </w:r>
      <w:r w:rsidR="006A0BFF" w:rsidRPr="00321B8A">
        <w:rPr>
          <w:rFonts w:ascii="Arial" w:hAnsi="Arial" w:cs="Arial"/>
          <w:color w:val="000000" w:themeColor="text1"/>
          <w:sz w:val="20"/>
          <w:szCs w:val="20"/>
        </w:rPr>
        <w:t>antibiotic</w:t>
      </w:r>
      <w:r w:rsidR="004037BB">
        <w:rPr>
          <w:rFonts w:ascii="Arial" w:hAnsi="Arial" w:cs="Arial"/>
          <w:color w:val="000000" w:themeColor="text1"/>
          <w:sz w:val="20"/>
          <w:szCs w:val="20"/>
        </w:rPr>
        <w:t>-</w:t>
      </w:r>
      <w:r w:rsidR="000A5327" w:rsidRPr="00321B8A">
        <w:rPr>
          <w:rFonts w:ascii="Arial" w:hAnsi="Arial" w:cs="Arial"/>
          <w:color w:val="000000" w:themeColor="text1"/>
          <w:sz w:val="20"/>
          <w:szCs w:val="20"/>
        </w:rPr>
        <w:t>sensitive microorganism in hospitals</w:t>
      </w:r>
      <w:r w:rsidR="00742AFF" w:rsidRPr="00321B8A">
        <w:rPr>
          <w:rFonts w:ascii="Arial" w:hAnsi="Arial" w:cs="Arial"/>
          <w:color w:val="000000" w:themeColor="text1"/>
          <w:sz w:val="20"/>
          <w:szCs w:val="20"/>
        </w:rPr>
        <w:t xml:space="preserve">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{"citationID":"2885Jpww","properties":{"formattedCitation":"\\super 3,4\\nosupersub{}","plainCitation":"3,4","noteIndex":0},"citationItems":[{"id":459,"uris":["http://zotero.org/users/9551388/items/AAMBXBLY"],"itemData":{"id":459,"type":"article-journal","container-title":"Nature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3,4</w:t>
      </w:r>
      <w:r w:rsidR="005E4095">
        <w:rPr>
          <w:rFonts w:ascii="Arial" w:hAnsi="Arial" w:cs="Arial"/>
          <w:sz w:val="20"/>
          <w:szCs w:val="20"/>
        </w:rPr>
        <w:fldChar w:fldCharType="end"/>
      </w:r>
      <w:r w:rsidR="005E4095" w:rsidRPr="00312B71">
        <w:rPr>
          <w:rFonts w:ascii="Arial" w:hAnsi="Arial" w:cs="Arial"/>
          <w:sz w:val="20"/>
          <w:szCs w:val="20"/>
        </w:rPr>
        <w:t>.</w:t>
      </w:r>
      <w:r w:rsidR="00D04EFE">
        <w:rPr>
          <w:rFonts w:ascii="Arial" w:hAnsi="Arial" w:cs="Arial"/>
          <w:sz w:val="20"/>
          <w:szCs w:val="20"/>
        </w:rPr>
        <w:t xml:space="preserve"> It is well-recognized</w:t>
      </w:r>
      <w:r w:rsidR="005434E0">
        <w:rPr>
          <w:rFonts w:ascii="Arial" w:hAnsi="Arial" w:cs="Arial"/>
          <w:sz w:val="20"/>
          <w:szCs w:val="20"/>
        </w:rPr>
        <w:t xml:space="preserve"> and assumed in modeling studies</w:t>
      </w:r>
      <w:r w:rsidR="00D04EFE">
        <w:rPr>
          <w:rFonts w:ascii="Arial" w:hAnsi="Arial" w:cs="Arial"/>
          <w:sz w:val="20"/>
          <w:szCs w:val="20"/>
        </w:rPr>
        <w:t xml:space="preserve"> that between-host transmission is an important driver of the maintenance of resistance in hospitals</w:t>
      </w:r>
      <w:r w:rsidR="005434E0">
        <w:rPr>
          <w:rFonts w:ascii="Arial" w:hAnsi="Arial" w:cs="Arial"/>
          <w:sz w:val="20"/>
          <w:szCs w:val="20"/>
        </w:rPr>
        <w:t xml:space="preserve"> and of microorganism circulation</w:t>
      </w:r>
      <w:r w:rsidR="00D04EFE">
        <w:rPr>
          <w:rFonts w:ascii="Arial" w:hAnsi="Arial" w:cs="Arial"/>
          <w:sz w:val="20"/>
          <w:szCs w:val="20"/>
        </w:rPr>
        <w:t xml:space="preserve"> </w:t>
      </w:r>
      <w:r w:rsidR="00D04EFE">
        <w:rPr>
          <w:rFonts w:ascii="Arial" w:hAnsi="Arial" w:cs="Arial"/>
          <w:sz w:val="20"/>
          <w:szCs w:val="20"/>
        </w:rPr>
        <w:fldChar w:fldCharType="begin"/>
      </w:r>
      <w:r w:rsidR="003F627C">
        <w:rPr>
          <w:rFonts w:ascii="Arial" w:hAnsi="Arial" w:cs="Arial"/>
          <w:sz w:val="20"/>
          <w:szCs w:val="20"/>
        </w:rPr>
        <w:instrText xml:space="preserve"> ADDIN ZOTERO_ITEM CSL_CITATION {"citationID":"a10h3r76afc","properties":{"formattedCitation":"\\super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3F627C" w:rsidRPr="003F627C">
        <w:rPr>
          <w:rFonts w:ascii="Arial" w:hAnsi="Arial" w:cs="Arial"/>
          <w:sz w:val="20"/>
          <w:vertAlign w:val="superscript"/>
          <w:lang w:val="en-GB"/>
        </w:rPr>
        <w:t>5</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w:t>
      </w:r>
      <w:r w:rsidR="0063202C">
        <w:rPr>
          <w:rFonts w:ascii="Arial" w:hAnsi="Arial" w:cs="Arial"/>
          <w:sz w:val="20"/>
          <w:szCs w:val="20"/>
        </w:rPr>
        <w:t xml:space="preserve">or fomite </w:t>
      </w:r>
      <w:r w:rsidR="00AF1F6D">
        <w:rPr>
          <w:rFonts w:ascii="Arial" w:hAnsi="Arial" w:cs="Arial"/>
          <w:sz w:val="20"/>
          <w:szCs w:val="20"/>
        </w:rPr>
        <w:t>transmission</w:t>
      </w:r>
      <w:r w:rsidR="000443BD">
        <w:rPr>
          <w:rFonts w:ascii="Arial" w:hAnsi="Arial" w:cs="Arial"/>
          <w:sz w:val="20"/>
          <w:szCs w:val="20"/>
        </w:rPr>
        <w:t xml:space="preserve"> </w:t>
      </w:r>
      <w:r w:rsidR="00AF1F6D">
        <w:rPr>
          <w:rFonts w:ascii="Arial" w:hAnsi="Arial" w:cs="Arial"/>
          <w:sz w:val="20"/>
          <w:szCs w:val="20"/>
        </w:rPr>
        <w:t xml:space="preserve">(cite), or </w:t>
      </w:r>
      <w:r w:rsidR="0067565D">
        <w:rPr>
          <w:rFonts w:ascii="Arial" w:hAnsi="Arial" w:cs="Arial"/>
          <w:sz w:val="20"/>
          <w:szCs w:val="20"/>
        </w:rPr>
        <w:t>in the case of resistant strain</w:t>
      </w:r>
      <w:r w:rsidR="00D534CE">
        <w:rPr>
          <w:rFonts w:ascii="Arial" w:hAnsi="Arial" w:cs="Arial"/>
          <w:sz w:val="20"/>
          <w:szCs w:val="20"/>
        </w:rPr>
        <w:t>s</w:t>
      </w:r>
      <w:r w:rsidR="0067565D">
        <w:rPr>
          <w:rFonts w:ascii="Arial" w:hAnsi="Arial" w:cs="Arial"/>
          <w:sz w:val="20"/>
          <w:szCs w:val="20"/>
        </w:rPr>
        <w:t xml:space="preserve"> </w:t>
      </w:r>
      <w:r w:rsidR="00AF1F6D">
        <w:rPr>
          <w:rFonts w:ascii="Arial" w:hAnsi="Arial" w:cs="Arial"/>
          <w:sz w:val="20"/>
          <w:szCs w:val="20"/>
        </w:rPr>
        <w:t>within the host processes, such as horizontal gene transfer</w:t>
      </w:r>
      <w:r w:rsidR="002D41AA">
        <w:rPr>
          <w:rFonts w:ascii="Arial" w:hAnsi="Arial" w:cs="Arial"/>
          <w:sz w:val="20"/>
          <w:szCs w:val="20"/>
        </w:rPr>
        <w:t xml:space="preserve"> also referred as endogenous transmission</w:t>
      </w:r>
      <w:r w:rsidR="006A1DB8">
        <w:rPr>
          <w:rFonts w:ascii="Arial" w:hAnsi="Arial" w:cs="Arial"/>
          <w:sz w:val="20"/>
          <w:szCs w:val="20"/>
        </w:rPr>
        <w:t xml:space="preserve"> </w:t>
      </w:r>
      <w:r w:rsidR="006A1DB8">
        <w:rPr>
          <w:rFonts w:ascii="Arial" w:hAnsi="Arial" w:cs="Arial"/>
          <w:sz w:val="20"/>
          <w:szCs w:val="20"/>
        </w:rPr>
        <w:fldChar w:fldCharType="begin"/>
      </w:r>
      <w:r w:rsidR="00590AF7">
        <w:rPr>
          <w:rFonts w:ascii="Arial" w:hAnsi="Arial" w:cs="Arial"/>
          <w:sz w:val="20"/>
          <w:szCs w:val="20"/>
        </w:rPr>
        <w:instrText xml:space="preserve"> ADDIN ZOTERO_ITEM CSL_CITATION {"citationID":"a1pdm3d6hue","properties":{"formattedCitation":"\\super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006A1DB8">
        <w:rPr>
          <w:rFonts w:ascii="Arial" w:hAnsi="Arial" w:cs="Arial"/>
          <w:sz w:val="20"/>
          <w:szCs w:val="20"/>
        </w:rPr>
        <w:fldChar w:fldCharType="separate"/>
      </w:r>
      <w:r w:rsidR="00590AF7" w:rsidRPr="00590AF7">
        <w:rPr>
          <w:rFonts w:ascii="Arial" w:hAnsi="Arial" w:cs="Arial"/>
          <w:sz w:val="20"/>
          <w:vertAlign w:val="superscript"/>
          <w:lang w:val="en-GB"/>
        </w:rPr>
        <w:t>6</w:t>
      </w:r>
      <w:r w:rsidR="006A1DB8">
        <w:rPr>
          <w:rFonts w:ascii="Arial" w:hAnsi="Arial" w:cs="Arial"/>
          <w:sz w:val="20"/>
          <w:szCs w:val="20"/>
        </w:rPr>
        <w:fldChar w:fldCharType="end"/>
      </w:r>
      <w:r w:rsidR="00D04EFE">
        <w:rPr>
          <w:rFonts w:ascii="Arial" w:hAnsi="Arial" w:cs="Arial"/>
          <w:sz w:val="20"/>
          <w:szCs w:val="20"/>
        </w:rPr>
        <w:t>.</w:t>
      </w:r>
      <w:r w:rsidR="006A1DB8">
        <w:rPr>
          <w:rFonts w:ascii="Arial" w:hAnsi="Arial" w:cs="Arial"/>
          <w:sz w:val="20"/>
          <w:szCs w:val="20"/>
        </w:rPr>
        <w:t xml:space="preserve"> These </w:t>
      </w:r>
      <w:r w:rsidR="00321B8A">
        <w:rPr>
          <w:rFonts w:ascii="Arial" w:hAnsi="Arial" w:cs="Arial"/>
          <w:sz w:val="20"/>
          <w:szCs w:val="20"/>
        </w:rPr>
        <w:t>mechanisms</w:t>
      </w:r>
      <w:r w:rsidR="006A1DB8">
        <w:rPr>
          <w:rFonts w:ascii="Arial" w:hAnsi="Arial" w:cs="Arial"/>
          <w:sz w:val="20"/>
          <w:szCs w:val="20"/>
        </w:rPr>
        <w:t xml:space="preserve"> are thought to be differential per microorganisms species</w:t>
      </w:r>
      <w:r w:rsidR="006B782B">
        <w:rPr>
          <w:rFonts w:ascii="Arial" w:hAnsi="Arial" w:cs="Arial"/>
          <w:sz w:val="20"/>
          <w:szCs w:val="20"/>
        </w:rPr>
        <w:t>, across body sites as suggested by Niche theory</w:t>
      </w:r>
      <w:ins w:id="4" w:author="Cascante Vega, Jaime E." w:date="2023-04-27T17:19:00Z">
        <w:r w:rsidR="00993C0B">
          <w:rPr>
            <w:rFonts w:ascii="Arial" w:hAnsi="Arial" w:cs="Arial"/>
            <w:sz w:val="20"/>
            <w:szCs w:val="20"/>
          </w:rPr>
          <w:t xml:space="preserve"> </w:t>
        </w:r>
      </w:ins>
      <w:r w:rsidR="00993C0B">
        <w:rPr>
          <w:rFonts w:ascii="Arial" w:hAnsi="Arial" w:cs="Arial"/>
          <w:sz w:val="20"/>
          <w:szCs w:val="20"/>
        </w:rPr>
        <w:fldChar w:fldCharType="begin"/>
      </w:r>
      <w:r w:rsidR="00993C0B">
        <w:rPr>
          <w:rFonts w:ascii="Arial" w:hAnsi="Arial" w:cs="Arial"/>
          <w:sz w:val="20"/>
          <w:szCs w:val="20"/>
        </w:rPr>
        <w:instrText xml:space="preserve"> ADDIN ZOTERO_ITEM CSL_CITATION {"citationID":"at46lu5tge","properties":{"formattedCitation":"\\uldash{\\super 1\\uc0\\u8211{}3\\nosupersub{}}","plainCitation":"1–3","noteIndex":0},"citationItems":[{"id":581,"uris":["http://zotero.org/users/9551388/items/QEN9S22I"],"itemData":{"id":581,"type":"article-journal","container-title":"Trends in Microbiology","DOI":"10.1016/j.tim.2013.03.004","ISSN":"0966842X","issue":"6","journalAbbreviation":"Trends in Microbiology","language":"en","page":"271-276","source":"DOI.org (Crossref)","title":"Interpreting infective microbiota: the importance of an ecological perspective","title-short":"Interpreting infective microbiota","volume":"21","author":[{"family":"Rogers","given":"Geraint B."},{"family":"Hoffman","given":"Lucas R."},{"family":"Carroll","given":"Mary P."},{"family":"Bruce","given":"Kenneth D."}],"issued":{"date-parts":[["2013",6]]}}},{"id":583,"uris":["http://zotero.org/users/9551388/items/GGLQTLBF"],"itemData":{"id":583,"type":"article-journal","abstract":"It has become increasingly clear that there is a vast array of microorganisms on and in the human body, known collectively as the human microbiome. Our microbiomes are extraordinarily complex, and this complexity has been linked to human health and well-being. Given the complexity and importance of our microbiomes, we struggle with how to think about them. There is a long list of competing metaphors that we use to refer to our microbiomes, including as an “organ” containing our “second genome,” as a “symbiont” in the human “holobiont,” and as an ecological “community” in the human “ecosystem,” among others. Each of these makes different assumptions about the fundamental biology of the human-microbe system, with important implications for how we choose to study microbiomes, and the therapies we envision for correcting microbiome-linked disorders. We believe that it is time to move beyond metaphors, and we propose a scientiﬁcally pluralist approach that focuses on characterizing fundamental biological properties of microbiomes such as heritability, transmission mode, rates of dispersal rates, and strength of local selection. Such an approach will allow us to break out of the conﬁnes of narrow conceptual frameworks, and to guide the exploration of our complexity as chimeric beings.","container-title":"The Quarterly Review of Biology","DOI":"10.1086/703582","ISSN":"0033-5770, 1539-7718","issue":"2","journalAbbreviation":"The Quarterly Review of Biology","language":"en","page":"149-175","source":"DOI.org (Crossref)","title":"The Conceptual Ecology of the Human Microbiome","volume":"94","author":[{"family":"Morar","given":"Nicolae"},{"family":"Bohannan","given":"Brendan J. M."}],"issued":{"date-parts":[["2019",6]]}}},{"id":584,"uris":["http://zotero.org/users/9551388/items/EZ2F8H9R"],"itemData":{"id":584,"type":"article-journal","container-title":"Nature Medicine","DOI":"10.1038/s41591-019-0464-9","ISSN":"1078-8956, 1546-170X","issue":"6","journalAbbreviation":"Nat Med","language":"en","page":"884-889","source":"DOI.org (Crossref)","title":"Community ecology as a framework for human microbiome research","volume":"25","author":[{"family":"Gilbert","given":"Jack A."},{"family":"Lynch","given":"Susan V."}],"issued":{"date-parts":[["2019",6]]}}}],"schema":"https://github.com/citation-style-language/schema/raw/master/csl-citation.json"} </w:instrText>
      </w:r>
      <w:r w:rsidR="00993C0B">
        <w:rPr>
          <w:rFonts w:ascii="Arial" w:hAnsi="Arial" w:cs="Arial"/>
          <w:sz w:val="20"/>
          <w:szCs w:val="20"/>
        </w:rPr>
        <w:fldChar w:fldCharType="separate"/>
      </w:r>
      <w:r w:rsidR="00993C0B" w:rsidRPr="00993C0B">
        <w:rPr>
          <w:rFonts w:ascii="Arial" w:hAnsi="Arial" w:cs="Arial"/>
          <w:sz w:val="20"/>
          <w:u w:val="dash"/>
          <w:vertAlign w:val="superscript"/>
          <w:lang w:val="en-GB"/>
        </w:rPr>
        <w:t>1–3</w:t>
      </w:r>
      <w:r w:rsidR="00993C0B">
        <w:rPr>
          <w:rFonts w:ascii="Arial" w:hAnsi="Arial" w:cs="Arial"/>
          <w:sz w:val="20"/>
          <w:szCs w:val="20"/>
        </w:rPr>
        <w:fldChar w:fldCharType="end"/>
      </w:r>
      <w:r w:rsidR="00D6603B">
        <w:rPr>
          <w:rFonts w:ascii="Arial" w:hAnsi="Arial" w:cs="Arial"/>
          <w:sz w:val="20"/>
          <w:szCs w:val="20"/>
        </w:rPr>
        <w:t xml:space="preserve"> </w:t>
      </w:r>
      <w:r w:rsidR="006A1DB8">
        <w:rPr>
          <w:rFonts w:ascii="Arial" w:hAnsi="Arial" w:cs="Arial"/>
          <w:sz w:val="20"/>
          <w:szCs w:val="20"/>
        </w:rPr>
        <w:t>and heterogeneous across geographical space</w:t>
      </w:r>
      <w:r w:rsidR="006B782B">
        <w:rPr>
          <w:rFonts w:ascii="Arial" w:hAnsi="Arial" w:cs="Arial"/>
          <w:sz w:val="20"/>
          <w:szCs w:val="20"/>
        </w:rPr>
        <w:t xml:space="preserve">, although some consistency in </w:t>
      </w:r>
      <w:r w:rsidR="00502C76">
        <w:rPr>
          <w:rFonts w:ascii="Arial" w:hAnsi="Arial" w:cs="Arial"/>
          <w:sz w:val="20"/>
          <w:szCs w:val="20"/>
        </w:rPr>
        <w:t>human</w:t>
      </w:r>
      <w:r w:rsidR="006B782B">
        <w:rPr>
          <w:rFonts w:ascii="Arial" w:hAnsi="Arial" w:cs="Arial"/>
          <w:sz w:val="20"/>
          <w:szCs w:val="20"/>
        </w:rPr>
        <w:t xml:space="preserve"> prevalence</w:t>
      </w:r>
      <w:r w:rsidR="0063202C">
        <w:rPr>
          <w:rFonts w:ascii="Arial" w:hAnsi="Arial" w:cs="Arial"/>
          <w:sz w:val="20"/>
          <w:szCs w:val="20"/>
        </w:rPr>
        <w:t xml:space="preserve"> </w:t>
      </w:r>
      <w:r w:rsidR="006B782B">
        <w:rPr>
          <w:rFonts w:ascii="Arial" w:hAnsi="Arial" w:cs="Arial"/>
          <w:sz w:val="20"/>
          <w:szCs w:val="20"/>
        </w:rPr>
        <w:t xml:space="preserve">is </w:t>
      </w:r>
      <w:r w:rsidR="00DE0646">
        <w:rPr>
          <w:rFonts w:ascii="Arial" w:hAnsi="Arial" w:cs="Arial"/>
          <w:sz w:val="20"/>
          <w:szCs w:val="20"/>
        </w:rPr>
        <w:t>expected</w:t>
      </w:r>
      <w:r w:rsidR="006B782B">
        <w:rPr>
          <w:rFonts w:ascii="Arial" w:hAnsi="Arial" w:cs="Arial"/>
          <w:sz w:val="20"/>
          <w:szCs w:val="20"/>
        </w:rPr>
        <w:t>. F</w:t>
      </w:r>
      <w:r w:rsidR="00321B8A">
        <w:rPr>
          <w:rFonts w:ascii="Arial" w:hAnsi="Arial" w:cs="Arial"/>
          <w:sz w:val="20"/>
          <w:szCs w:val="20"/>
        </w:rPr>
        <w:t>or example</w:t>
      </w:r>
      <w:r w:rsidR="00170E3A">
        <w:rPr>
          <w:rFonts w:ascii="Arial" w:hAnsi="Arial" w:cs="Arial"/>
          <w:sz w:val="20"/>
          <w:szCs w:val="20"/>
        </w:rPr>
        <w:t>,</w:t>
      </w:r>
      <w:r w:rsidR="00321B8A">
        <w:rPr>
          <w:rFonts w:ascii="Arial" w:hAnsi="Arial" w:cs="Arial"/>
          <w:sz w:val="20"/>
          <w:szCs w:val="20"/>
        </w:rPr>
        <w:t xml:space="preserve"> </w:t>
      </w:r>
      <w:r w:rsidR="00A96989">
        <w:rPr>
          <w:rFonts w:ascii="Arial" w:hAnsi="Arial" w:cs="Arial"/>
          <w:sz w:val="20"/>
          <w:szCs w:val="20"/>
        </w:rPr>
        <w:t>m</w:t>
      </w:r>
      <w:r w:rsidR="00A96989" w:rsidRPr="00D86F84">
        <w:rPr>
          <w:rFonts w:ascii="Arial" w:hAnsi="Arial" w:cs="Arial"/>
          <w:sz w:val="20"/>
          <w:szCs w:val="20"/>
        </w:rPr>
        <w:t xml:space="preserve">ethicillin-resistant </w:t>
      </w:r>
      <w:r w:rsidR="00A96989" w:rsidRPr="0024105A">
        <w:rPr>
          <w:rFonts w:ascii="Arial" w:hAnsi="Arial" w:cs="Arial"/>
          <w:i/>
          <w:iCs/>
          <w:sz w:val="20"/>
          <w:szCs w:val="20"/>
        </w:rPr>
        <w:t>Staphylococcus aureus</w:t>
      </w:r>
      <w:r w:rsidR="00A96989">
        <w:rPr>
          <w:rFonts w:ascii="Arial" w:hAnsi="Arial" w:cs="Arial"/>
          <w:sz w:val="20"/>
          <w:szCs w:val="20"/>
        </w:rPr>
        <w:t xml:space="preserve"> (</w:t>
      </w:r>
      <w:r w:rsidR="00321B8A">
        <w:rPr>
          <w:rFonts w:ascii="Arial" w:hAnsi="Arial" w:cs="Arial"/>
          <w:sz w:val="20"/>
          <w:szCs w:val="20"/>
        </w:rPr>
        <w:t>MRSA</w:t>
      </w:r>
      <w:r w:rsidR="00A96989">
        <w:rPr>
          <w:rFonts w:ascii="Arial" w:hAnsi="Arial" w:cs="Arial"/>
          <w:sz w:val="20"/>
          <w:szCs w:val="20"/>
        </w:rPr>
        <w:t>)</w:t>
      </w:r>
      <w:r w:rsidR="00321B8A">
        <w:rPr>
          <w:rFonts w:ascii="Arial" w:hAnsi="Arial" w:cs="Arial"/>
          <w:sz w:val="20"/>
          <w:szCs w:val="20"/>
        </w:rPr>
        <w:t xml:space="preserve"> is known to have a unique geographical distribution</w:t>
      </w:r>
      <w:r w:rsidR="005E5879">
        <w:rPr>
          <w:rFonts w:ascii="Arial" w:hAnsi="Arial" w:cs="Arial"/>
          <w:sz w:val="20"/>
          <w:szCs w:val="20"/>
        </w:rPr>
        <w:t xml:space="preserve"> classified principally by the complex clone</w:t>
      </w:r>
      <w:r w:rsidR="00557045">
        <w:rPr>
          <w:rFonts w:ascii="Arial" w:hAnsi="Arial" w:cs="Arial"/>
          <w:sz w:val="20"/>
          <w:szCs w:val="20"/>
        </w:rPr>
        <w:t>(s)</w:t>
      </w:r>
      <w:r w:rsidR="005E5879">
        <w:rPr>
          <w:rFonts w:ascii="Arial" w:hAnsi="Arial" w:cs="Arial"/>
          <w:sz w:val="20"/>
          <w:szCs w:val="20"/>
        </w:rPr>
        <w:t xml:space="preserve"> </w:t>
      </w:r>
      <w:r w:rsidR="00326595">
        <w:rPr>
          <w:rFonts w:ascii="Arial" w:hAnsi="Arial" w:cs="Arial"/>
          <w:sz w:val="20"/>
          <w:szCs w:val="20"/>
        </w:rPr>
        <w:t>circulating</w:t>
      </w:r>
      <w:r w:rsidR="00321B8A">
        <w:rPr>
          <w:rFonts w:ascii="Arial" w:hAnsi="Arial" w:cs="Arial"/>
          <w:sz w:val="20"/>
          <w:szCs w:val="20"/>
        </w:rPr>
        <w:t xml:space="preserve"> </w:t>
      </w:r>
      <w:r w:rsidR="005E5879">
        <w:rPr>
          <w:rFonts w:ascii="Arial" w:hAnsi="Arial" w:cs="Arial"/>
          <w:sz w:val="20"/>
          <w:szCs w:val="20"/>
        </w:rPr>
        <w:fldChar w:fldCharType="begin"/>
      </w:r>
      <w:r w:rsidR="00590AF7">
        <w:rPr>
          <w:rFonts w:ascii="Arial" w:hAnsi="Arial" w:cs="Arial"/>
          <w:sz w:val="20"/>
          <w:szCs w:val="20"/>
        </w:rPr>
        <w:instrText xml:space="preserve"> ADDIN ZOTERO_ITEM CSL_CITATION {"citationID":"aojvh8hoe3","properties":{"formattedCitation":"\\super 7,8\\nosupersub{}","plainCitation":"7,8","noteIndex":0},"citationItems":[{"id":534,"uris":["http://zotero.org/users/9551388/items/G4SIHVHU"],"itemData":{"id":534,"type":"article-journal","abstract":"Background: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M."}],"issued":{"date-parts":[["2021",12]]}}},{"id":492,"uris":["http://zotero.org/users/9551388/items/8MW8IAJK"],"itemData":{"id":492,"type":"article-journal","abstract":"A broad variety of infections, ranging from minor infections of the skin to post-operative wound infections can be caused by Staphylococcus aureus. The adaptive power of S. aureus to antibiotics leaded, in the early 1960s, to the emergence of methicillin-resistant S. aureus (MRSA). The cause of resistance to methicillin and all other b-lactam antibiotics is the mecA gene, which is situated on a mobile genetic element, the staphylococcal cassette chromosome mec (SCCmec). Seven major variants of SCCmec, type I to VII, are distinguished. The most important techniques used to investigate the molecular epidemiology of S. aureus are pulsed-ﬁeld gel electrophoresis (PFGE), multilocus sequence typing (MLST), S. aureus protein A (spa) typing and SCCmec typing (only for MRSA). These techniques have been used to study the evolution of the MRSA clones that have emerged since the early 1960s, and to study their subsequent worldwide dissemination. The early MRSA clones were hospital-associated (HA-MRSA). However, from the late 1990s, community-associated MRSA (CA-MRSA) clones emerged worldwide. CA-MRSA harbors SCCmec type IV, V or VII, the majority belong to other S. aureus lineages compared to HA-MRSA, and CAMRSA is often associated with the presence of the toxin Panton-Valentine leukocidin (PVL). However, during recent years, the distinction between HA-MRSA and CA-MRSA has started to disappear, and CAMRSA is now endemic in many US hospitals. MRSA probably originated trough the transfer of SCCmec into a limited number of methicillin-sensitive S. aureus (MSSA) lineages. This review describes the latest observations about the structure of SCCmec, the techniques used to study the molecular epidemiology and evolution of S. aureus as well as some challenges that researchers face in the future.","container-title":"Infection, Genetics and Evolution","DOI":"10.1016/j.meegid.2008.07.007","ISSN":"15671348","issue":"6","journalAbbreviation":"Infection, Genetics and Evolution","language":"en","page":"747-763","source":"DOI.org (Crossref)","title":"The evolution of Staphylococcus aureus","volume":"8","author":[{"family":"Deurenberg","given":"Ruud H."},{"family":"Stobberingh","given":"Ellen E."}],"issued":{"date-parts":[["2008",12]]}}}],"schema":"https://github.com/citation-style-language/schema/raw/master/csl-citation.json"} </w:instrText>
      </w:r>
      <w:r w:rsidR="005E5879">
        <w:rPr>
          <w:rFonts w:ascii="Arial" w:hAnsi="Arial" w:cs="Arial"/>
          <w:sz w:val="20"/>
          <w:szCs w:val="20"/>
        </w:rPr>
        <w:fldChar w:fldCharType="separate"/>
      </w:r>
      <w:r w:rsidR="00590AF7" w:rsidRPr="00590AF7">
        <w:rPr>
          <w:rFonts w:ascii="Arial" w:hAnsi="Arial" w:cs="Arial"/>
          <w:sz w:val="20"/>
          <w:vertAlign w:val="superscript"/>
          <w:lang w:val="en-GB"/>
        </w:rPr>
        <w:t>7,8</w:t>
      </w:r>
      <w:r w:rsidR="005E5879">
        <w:rPr>
          <w:rFonts w:ascii="Arial" w:hAnsi="Arial" w:cs="Arial"/>
          <w:sz w:val="20"/>
          <w:szCs w:val="20"/>
        </w:rPr>
        <w:fldChar w:fldCharType="end"/>
      </w:r>
      <w:r w:rsidR="00ED3CFE">
        <w:rPr>
          <w:rFonts w:ascii="Arial" w:hAnsi="Arial" w:cs="Arial"/>
          <w:sz w:val="20"/>
          <w:szCs w:val="20"/>
        </w:rPr>
        <w:t>, with human prevalences from 0.4% to 5%</w:t>
      </w:r>
      <w:r w:rsidR="00706558">
        <w:rPr>
          <w:rFonts w:ascii="Arial" w:hAnsi="Arial" w:cs="Arial"/>
          <w:sz w:val="20"/>
          <w:szCs w:val="20"/>
        </w:rPr>
        <w:t xml:space="preserve">, but the general prevalence of </w:t>
      </w:r>
      <w:r w:rsidR="00706558">
        <w:rPr>
          <w:rFonts w:ascii="Arial" w:hAnsi="Arial" w:cs="Arial"/>
          <w:i/>
          <w:iCs/>
          <w:sz w:val="20"/>
          <w:szCs w:val="20"/>
        </w:rPr>
        <w:t xml:space="preserve">S. aureus </w:t>
      </w:r>
      <w:r w:rsidR="00706558">
        <w:rPr>
          <w:rFonts w:ascii="Arial" w:hAnsi="Arial" w:cs="Arial"/>
          <w:sz w:val="20"/>
          <w:szCs w:val="20"/>
        </w:rPr>
        <w:t xml:space="preserve">is consistently between </w:t>
      </w:r>
      <w:r w:rsidR="000443BD">
        <w:rPr>
          <w:rFonts w:ascii="Arial" w:hAnsi="Arial" w:cs="Arial"/>
          <w:sz w:val="20"/>
          <w:szCs w:val="20"/>
        </w:rPr>
        <w:t>2</w:t>
      </w:r>
      <w:r w:rsidR="00706558">
        <w:rPr>
          <w:rFonts w:ascii="Arial" w:hAnsi="Arial" w:cs="Arial"/>
          <w:sz w:val="20"/>
          <w:szCs w:val="20"/>
        </w:rPr>
        <w:t xml:space="preserve">0% and </w:t>
      </w:r>
      <w:r w:rsidR="00F12210">
        <w:rPr>
          <w:rFonts w:ascii="Arial" w:hAnsi="Arial" w:cs="Arial"/>
          <w:sz w:val="20"/>
          <w:szCs w:val="20"/>
        </w:rPr>
        <w:t>5</w:t>
      </w:r>
      <w:r w:rsidR="00706558">
        <w:rPr>
          <w:rFonts w:ascii="Arial" w:hAnsi="Arial" w:cs="Arial"/>
          <w:sz w:val="20"/>
          <w:szCs w:val="20"/>
        </w:rPr>
        <w:t>0%, depending on the</w:t>
      </w:r>
      <w:r w:rsidR="005A69DF">
        <w:rPr>
          <w:rFonts w:ascii="Arial" w:hAnsi="Arial" w:cs="Arial"/>
          <w:sz w:val="20"/>
          <w:szCs w:val="20"/>
        </w:rPr>
        <w:t xml:space="preserve"> </w:t>
      </w:r>
      <w:r w:rsidR="00706558">
        <w:rPr>
          <w:rFonts w:ascii="Arial" w:hAnsi="Arial" w:cs="Arial"/>
          <w:sz w:val="20"/>
          <w:szCs w:val="20"/>
        </w:rPr>
        <w:t>body sites</w:t>
      </w:r>
      <w:r w:rsidR="00AA61F7">
        <w:rPr>
          <w:rFonts w:ascii="Arial" w:hAnsi="Arial" w:cs="Arial"/>
          <w:sz w:val="20"/>
          <w:szCs w:val="20"/>
        </w:rPr>
        <w:t xml:space="preserve"> and populations</w:t>
      </w:r>
      <w:r w:rsidR="00706558">
        <w:rPr>
          <w:rFonts w:ascii="Arial" w:hAnsi="Arial" w:cs="Arial"/>
          <w:sz w:val="20"/>
          <w:szCs w:val="20"/>
        </w:rPr>
        <w:t xml:space="preserve"> considered</w:t>
      </w:r>
      <w:r w:rsidR="004037BB">
        <w:rPr>
          <w:rFonts w:ascii="Arial" w:hAnsi="Arial" w:cs="Arial"/>
          <w:sz w:val="20"/>
          <w:szCs w:val="20"/>
        </w:rPr>
        <w:t xml:space="preserve"> </w:t>
      </w:r>
      <w:r w:rsidR="004037BB">
        <w:rPr>
          <w:rFonts w:ascii="Arial" w:hAnsi="Arial" w:cs="Arial"/>
          <w:sz w:val="20"/>
          <w:szCs w:val="20"/>
        </w:rPr>
        <w:fldChar w:fldCharType="begin"/>
      </w:r>
      <w:r w:rsidR="00557045">
        <w:rPr>
          <w:rFonts w:ascii="Arial" w:hAnsi="Arial" w:cs="Arial"/>
          <w:sz w:val="20"/>
          <w:szCs w:val="20"/>
        </w:rPr>
        <w:instrText xml:space="preserve"> ADDIN ZOTERO_ITEM CSL_CITATION {"citationID":"aare8rjq1s","properties":{"formattedCitation":"\\super 9\\uc0\\u8211{}15\\nosupersub{}","plainCitation":"9–15","noteIndex":0},"citationItems":[{"id":221,"uris":["http://zotero.org/users/9551388/items/4PKBTMW2"],"itemData":{"id":221,"type":"article-journal","abstract":"Background: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id":567,"uris":["http://zotero.org/users/9551388/items/89BJE4H6"],"itemData":{"id":567,"type":"article-journal","container-title":"Journal of Medical Microbiology","DOI":"10.1099/jmm.0.051854-0","ISSN":"0022-2615, 1473-5644","issue":"3","language":"en","page":"437-440","source":"DOI.org (Crossref)","title":"Nasal self-swabbing for estimating the prevalence of Staphylococcus aureus in the community","volume":"62","author":[{"family":"Gamblin","given":"Jenny"},{"family":"Jefferies","given":"Johanna M."},{"family":"Harris","given":"Scott"},{"family":"Ahmad","given":"Nusreen"},{"family":"Marsh","given":"Peter"},{"family":"Faust","given":"Saul N."},{"family":"Fraser","given":"Simon"},{"family":"Moore","given":"Michael"},{"family":"Roderick","given":"Paul"},{"family":"Blair","given":"Iain"},{"family":"Clarke","given":"Stuart C."}],"issued":{"date-parts":[["2013",3,1]]}}},{"id":572,"uris":["http://zotero.org/users/9551388/items/WH44FGAB"],"itemData":{"id":572,"type":"article-journal","abstract":"Extranasal colonization is increasingly recognized as an important reservoir for Staphylococcus aureus among high-risk populations. We conducted a cross-sectional study of multiple body site colonization among 173 randomly selected STD clinic patients in Baltimore, Maryland. Staphylococcal carriage at extranasal sites, including the oropharynx, groin, rectum, and genitals, was common among study subjects. The USA300 clone was particularly associated with multiple sites of colonization compared with non-USA300 strains ( p ¼ .01). Given their high burden of multi-site colonization and conﬂuence of established staphylococcal risk factors, STD clinic patients may represent a communitybased reservoir for S. aureus and be well suited for innovative infection control initiatives.","container-title":"Microbes and Infection","DOI":"10.1016/j.micinf.2012.06.004","ISSN":"12864579","issue":"12","journalAbbreviation":"Microbes and Infection","language":"en","page":"1040-1043","source":"DOI.org (Crossref)","title":"High prevalence of colonization with Staphylococcus aureus clone USA300 at multiple body sites among sexually transmitted disease clinic patients: an unrecognized reservoir","title-short":"High prevalence of colonization with Staphylococcus aureus clone USA300 at multiple body sites among sexually transmitted disease clinic patients","volume":"14","author":[{"family":"Miko","given":"Benjamin A."},{"family":"Uhlemann","given":"Anne-Catrin"},{"family":"Gelman","given":"Amanda"},{"family":"Lee","given":"Caroline J."},{"family":"Hafer","given":"Cory A."},{"family":"Sullivan","given":"Sean B."},{"family":"Shi","given":"Qiuhu"},{"family":"Miller","given":"Maureen"},{"family":"Zenilman","given":"Jonathan"},{"family":"Lowy","given":"Franklin D."}],"issued":{"date-parts":[["2012",10]]}}},{"id":566,"uris":["http://zotero.org/users/9551388/items/CNGI7F4J"],"itemData":{"id":566,"type":"article-journal","abstract":"Staphylococcus aureus is a colonizing opportunistic pathogen and a leading cause of bloodstream infection with high morbidity and mortality. S. aureus carriage frequency is reportedly between 20 and 40 % among healthy adults, with S. aureus colonization considered to be a risk factor for S. aureus bacteraemia. It is unknown whether a genetic component of the bacterium is associated with S. aureus bacteraemia in comparison to nasal carriage strains. Previous association studies primarily focusing on the clinical outcome of an S. aureus infection have produced conflicting results, often limited by study design challenged by sample collections and the clonal diversity of S. aureus. To date, no study has investigated whether genomic features separate nasal carriage isolates from S. aureus bacteraemia isolates within a single clonal lineage. Here we have investigated whether genomic features, including single-n­ ucleotide polymorphisms (SNPs), genes, or kmers, distinguish S. aureus nasal carriage isolates from bacteraemia isolates that all belong to the same clonal lineage [clonal complex 45 (CC45)] using whole-g­ enome sequencing (WGS) and a genome-­wide association (GWA) approach. From CC45, 100 isolates (50 bacteraemia and 50 nasal carriage, geographically and temporally matched) from Denmark were whole-­genome sequenced and subjected to GWA analyses involving gene copy number variation, SNPs, gene content, kmers and gene combinations, while correcting for lineage effects. No statistically significant association involving SNPs, specific genes, gene variants, gene copy number variation, or a combination of genes was identified that could distinguish bacteraemia isolates from nasal carriage isolates. The presented results suggest that all S. aureus nasal CC45 isolates carry the potential to cause invasive disease, as no core or accessory genome content or variations were statistically associated with invasiveness.","container-title":"Microbial Genomics","DOI":"10.1099/mgen.0.000403","ISSN":"2057-5858","issue":"8","language":"en","source":"DOI.org (Crossref)","title":"Genomic analyses of Staphylococcus aureus clonal complex 45 isolates does not distinguish nasal carriage from bacteraemia","URL":"https://www.microbiologyresearch.org/content/journal/mgen/10.1099/mgen.0.000403","volume":"6","author":[{"family":"Roe","given":"Chandler"},{"family":"Stegger","given":"Marc"},{"family":"Lilje","given":"Berit"},{"family":"Johannesen","given":"Thor Bech"},{"family":"Ng","given":"Kim Lee"},{"family":"Sieber","given":"Raphael N."},{"family":"Driebe","given":"Elizabeth"},{"family":"Engelthaler","given":"David M."},{"family":"Andersen","given":"Paal Skytt"}],"accessed":{"date-parts":[["2023",4,24]]},"issued":{"date-parts":[["2020",8,1]]}}},{"id":568,"uris":["http://zotero.org/users/9551388/items/39IHEYCD"],"itemData":{"id":568,"type":"article-journal","abstract":"Background: Staphylococcus aureus nasal carriage increases infection risk. However, few studies have investigated S. aureus acquisition/loss over &gt;1 year, and fewer still used molecular typing.","container-title":"Journal of Infection","DOI":"10.1016/j.jinf.2013.12.013","ISSN":"01634453","issue":"5","journalAbbreviation":"Journal of Infection","language":"en","page":"426-439","source":"DOI.org (Crossref)","title":"Dynamics of acquisition and loss of carriage of Staphylococcus aureus strains in the community: The effect of clonal complex","title-short":"Dynamics of acquisition and loss of carriage of Staphylococcus aureus strains in the community","volume":"68","author":[{"family":"Miller","given":"Ruth R."},{"family":"Walker","given":"A. Sarah"},{"family":"Godwin","given":"Heather"},{"family":"Fung","given":"Rowena"},{"family":"Votintseva","given":"Antonina"},{"family":"Bowden","given":"Rory"},{"family":"Mant","given":"David"},{"family":"Peto","given":"Timothy E.A."},{"family":"Crook","given":"Derrick W."},{"family":"Knox","given":"Kyle"}],"issued":{"date-parts":[["2014",5]]}}},{"id":576,"uris":["http://zotero.org/users/9551388/items/EFD8N9V9"],"itemData":{"id":576,"type":"article-journal","abstract":"Background: Colonization of humans with Staphylococcus aureus is a critical prerequisite of subsequent clinical infection of the skin, blood, lung, heart and other deep tissues. S. aureus persistently or intermittently colonizes the nares of ,50% of healthy adults, whereas ,50% of the general population is rarely or never colonized by this pathogen. Because microbial consortia within the nasal cavity may be an important determinant of S. aureus colonization we determined the composition and dynamics of the nasal microbiota and correlated specific microorganisms with S. aureus colonization.\nMethodology/Principal Findings: Nasal specimens were collected longitudinally from five healthy adults and a crosssection of hospitalized patients (26 S. aureus carriers and 16 non-carriers). Culture-independent analysis of 16S rRNA sequences revealed that the nasal microbiota of healthy subjects consists primarily of members of the phylum Actinobacteria (e.g., Propionibacterium spp. and Corynebacterium spp.), with proportionally less representation of other phyla, including Firmicutes (e.g., Staphylococcus spp.) and Proteobacteria (e.g. Enterobacter spp). In contrast, inpatient nasal microbiotas were enriched in S. aureus or Staphylococcus epidermidis and diminished in several actinobacterial groups, most notably Propionibacterium acnes. Moreover, within the inpatient population S. aureus colonization was negatively correlated with the abundances of several microbial groups, including S. epidermidis (p = 0.004).\nConclusions/Significance: The nares environment is colonized by a temporally stable microbiota that is distinct from other regions of the integument. Negative association between S. aureus, S. epidermidis, and other groups suggests microbial competition during colonization of the nares, a finding that could be exploited to limit S. aureus colonization.","container-title":"PLoS ONE","DOI":"10.1371/journal.pone.0010598","ISSN":"1932-6203","issue":"5","journalAbbreviation":"PLoS ONE","language":"en","page":"e10598","source":"DOI.org (Crossref)","title":"The Human Nasal Microbiota and Staphylococcus aureus Carriage","volume":"5","author":[{"family":"Frank","given":"Daniel N."},{"family":"Feazel","given":"Leah M."},{"family":"Bessesen","given":"Mary T."},{"family":"Price","given":"Connie S."},{"family":"Janoff","given":"Edward N."},{"family":"Pace","given":"Norman R."}],"editor":[{"family":"Aziz","given":"Ramy K."}],"issued":{"date-parts":[["2010",5,17]]}}}],"schema":"https://github.com/citation-style-language/schema/raw/master/csl-citation.json"} </w:instrText>
      </w:r>
      <w:r w:rsidR="004037BB">
        <w:rPr>
          <w:rFonts w:ascii="Arial" w:hAnsi="Arial" w:cs="Arial"/>
          <w:sz w:val="20"/>
          <w:szCs w:val="20"/>
        </w:rPr>
        <w:fldChar w:fldCharType="separate"/>
      </w:r>
      <w:r w:rsidR="00557045" w:rsidRPr="00557045">
        <w:rPr>
          <w:rFonts w:ascii="Arial" w:hAnsi="Arial" w:cs="Arial"/>
          <w:sz w:val="20"/>
          <w:vertAlign w:val="superscript"/>
          <w:lang w:val="en-GB"/>
        </w:rPr>
        <w:t>9–15</w:t>
      </w:r>
      <w:r w:rsidR="004037BB">
        <w:rPr>
          <w:rFonts w:ascii="Arial" w:hAnsi="Arial" w:cs="Arial"/>
          <w:sz w:val="20"/>
          <w:szCs w:val="20"/>
        </w:rPr>
        <w:fldChar w:fldCharType="end"/>
      </w:r>
      <w:r w:rsidR="00706558">
        <w:rPr>
          <w:rFonts w:ascii="Arial" w:hAnsi="Arial" w:cs="Arial"/>
          <w:sz w:val="20"/>
          <w:szCs w:val="20"/>
        </w:rPr>
        <w:t>.</w:t>
      </w:r>
      <w:r w:rsidR="00C668FC">
        <w:rPr>
          <w:rFonts w:ascii="Arial" w:hAnsi="Arial" w:cs="Arial"/>
          <w:sz w:val="20"/>
          <w:szCs w:val="20"/>
        </w:rPr>
        <w:t xml:space="preserve"> </w:t>
      </w:r>
    </w:p>
    <w:p w14:paraId="744A106A" w14:textId="73C1F433" w:rsidR="005E4095" w:rsidRPr="00FD368C" w:rsidRDefault="00C668FC" w:rsidP="009D3DD5">
      <w:pPr>
        <w:spacing w:line="360" w:lineRule="auto"/>
        <w:jc w:val="both"/>
        <w:rPr>
          <w:rFonts w:ascii="Arial" w:hAnsi="Arial" w:cs="Arial"/>
          <w:color w:val="FF0000"/>
          <w:sz w:val="20"/>
          <w:szCs w:val="20"/>
        </w:rPr>
      </w:pPr>
      <w:r>
        <w:rPr>
          <w:rFonts w:ascii="Arial" w:hAnsi="Arial" w:cs="Arial"/>
          <w:color w:val="FF0000"/>
          <w:sz w:val="20"/>
          <w:szCs w:val="20"/>
        </w:rPr>
        <w:t xml:space="preserve">(discussion: how valid is this assumption - across all </w:t>
      </w:r>
      <w:r w:rsidR="00620E6F">
        <w:rPr>
          <w:rFonts w:ascii="Arial" w:hAnsi="Arial" w:cs="Arial"/>
          <w:color w:val="FF0000"/>
          <w:sz w:val="20"/>
          <w:szCs w:val="20"/>
        </w:rPr>
        <w:t>microorganisms</w:t>
      </w:r>
      <w:r>
        <w:rPr>
          <w:rFonts w:ascii="Arial" w:hAnsi="Arial" w:cs="Arial"/>
          <w:color w:val="FF0000"/>
          <w:sz w:val="20"/>
          <w:szCs w:val="20"/>
        </w:rPr>
        <w:t xml:space="preserve"> species? Perhaps I could cite </w:t>
      </w:r>
      <w:r w:rsidR="00A85C31">
        <w:rPr>
          <w:rFonts w:ascii="Arial" w:hAnsi="Arial" w:cs="Arial"/>
          <w:color w:val="FF0000"/>
          <w:sz w:val="20"/>
          <w:szCs w:val="20"/>
        </w:rPr>
        <w:t>those hypothetical ecological mechanisms that determine</w:t>
      </w:r>
      <w:r w:rsidR="0031480A">
        <w:rPr>
          <w:rFonts w:ascii="Arial" w:hAnsi="Arial" w:cs="Arial"/>
          <w:color w:val="FF0000"/>
          <w:sz w:val="20"/>
          <w:szCs w:val="20"/>
        </w:rPr>
        <w:t xml:space="preserve"> </w:t>
      </w:r>
      <w:r>
        <w:rPr>
          <w:rFonts w:ascii="Arial" w:hAnsi="Arial" w:cs="Arial"/>
          <w:color w:val="FF0000"/>
          <w:sz w:val="20"/>
          <w:szCs w:val="20"/>
        </w:rPr>
        <w:t>population density?)</w:t>
      </w:r>
    </w:p>
    <w:p w14:paraId="2649471D" w14:textId="2DE841FD" w:rsidR="004033B5" w:rsidRDefault="005E4095" w:rsidP="00621786">
      <w:pPr>
        <w:spacing w:line="360" w:lineRule="auto"/>
        <w:jc w:val="both"/>
        <w:rPr>
          <w:rFonts w:ascii="Arial" w:hAnsi="Arial" w:cs="Arial"/>
          <w:sz w:val="20"/>
          <w:szCs w:val="20"/>
        </w:rPr>
      </w:pPr>
      <w:r>
        <w:rPr>
          <w:rFonts w:ascii="Arial" w:hAnsi="Arial" w:cs="Arial"/>
          <w:sz w:val="20"/>
          <w:szCs w:val="20"/>
        </w:rPr>
        <w:lastRenderedPageBreak/>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xml:space="preserve">, </w:t>
      </w:r>
      <w:r w:rsidR="004A343D">
        <w:rPr>
          <w:rFonts w:ascii="Arial" w:hAnsi="Arial" w:cs="Arial"/>
          <w:sz w:val="20"/>
          <w:szCs w:val="20"/>
        </w:rPr>
        <w:t>especially</w:t>
      </w:r>
      <w:r w:rsidR="00E737CB">
        <w:rPr>
          <w:rFonts w:ascii="Arial" w:hAnsi="Arial" w:cs="Arial"/>
          <w:sz w:val="20"/>
          <w:szCs w:val="20"/>
        </w:rPr>
        <w:t xml:space="preserve"> to quantify and understand the relative roles of different routes of transmission</w:t>
      </w:r>
      <w:r w:rsidR="00C41CA2">
        <w:rPr>
          <w:rFonts w:ascii="Arial" w:hAnsi="Arial" w:cs="Arial"/>
          <w:sz w:val="20"/>
          <w:szCs w:val="20"/>
        </w:rPr>
        <w:t xml:space="preserve">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4</w:t>
      </w:r>
      <w:r w:rsidR="00C41CA2">
        <w:rPr>
          <w:rFonts w:ascii="Arial" w:hAnsi="Arial" w:cs="Arial"/>
          <w:sz w:val="20"/>
          <w:szCs w:val="20"/>
        </w:rPr>
        <w:fldChar w:fldCharType="end"/>
      </w:r>
      <w:r w:rsidR="00E737CB">
        <w:rPr>
          <w:rFonts w:ascii="Arial" w:hAnsi="Arial" w:cs="Arial"/>
          <w:sz w:val="20"/>
          <w:szCs w:val="20"/>
        </w:rPr>
        <w:t xml:space="preserve"> or to characterize the condition of the hospital settings to sustain transmission of both resistant and sensitive strains </w:t>
      </w:r>
      <w:r w:rsidR="00C41CA2">
        <w:rPr>
          <w:rFonts w:ascii="Arial" w:hAnsi="Arial" w:cs="Arial"/>
          <w:sz w:val="20"/>
          <w:szCs w:val="20"/>
        </w:rPr>
        <w:fldChar w:fldCharType="begin"/>
      </w:r>
      <w:r w:rsidR="00557045">
        <w:rPr>
          <w:rFonts w:ascii="Arial" w:hAnsi="Arial" w:cs="Arial"/>
          <w:sz w:val="20"/>
          <w:szCs w:val="20"/>
        </w:rPr>
        <w:instrText xml:space="preserve"> ADDIN ZOTERO_ITEM CSL_CITATION {"citationID":"a1lrgn11abe","properties":{"formattedCitation":"\\super 16\\nosupersub{}","plainCitation":"16","noteIndex":0},"citationItems":[{"id":132,"uris":["http://zotero.org/users/9551388/items/ZTS3IRMT"],"itemData":{"id":132,"type":"article-journal","abstract":"A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00C41CA2">
        <w:rPr>
          <w:rFonts w:ascii="Arial" w:hAnsi="Arial" w:cs="Arial"/>
          <w:sz w:val="20"/>
          <w:szCs w:val="20"/>
        </w:rPr>
        <w:fldChar w:fldCharType="separate"/>
      </w:r>
      <w:r w:rsidR="00557045" w:rsidRPr="00557045">
        <w:rPr>
          <w:rFonts w:ascii="Arial" w:hAnsi="Arial" w:cs="Arial"/>
          <w:sz w:val="20"/>
          <w:vertAlign w:val="superscript"/>
          <w:lang w:val="en-GB"/>
        </w:rPr>
        <w:t>16</w:t>
      </w:r>
      <w:r w:rsidR="00C41CA2">
        <w:rPr>
          <w:rFonts w:ascii="Arial" w:hAnsi="Arial" w:cs="Arial"/>
          <w:sz w:val="20"/>
          <w:szCs w:val="20"/>
        </w:rPr>
        <w:fldChar w:fldCharType="end"/>
      </w:r>
      <w:r w:rsidR="00880D1C">
        <w:rPr>
          <w:rFonts w:ascii="Arial" w:hAnsi="Arial" w:cs="Arial"/>
          <w:sz w:val="20"/>
          <w:szCs w:val="20"/>
        </w:rPr>
        <w:t>.</w:t>
      </w:r>
      <w:r w:rsidR="00170C7C">
        <w:rPr>
          <w:rFonts w:ascii="Arial" w:hAnsi="Arial" w:cs="Arial"/>
          <w:sz w:val="20"/>
          <w:szCs w:val="20"/>
        </w:rPr>
        <w:t xml:space="preserve"> </w:t>
      </w:r>
      <w:r w:rsidR="004C49A2">
        <w:rPr>
          <w:rFonts w:ascii="Arial" w:hAnsi="Arial" w:cs="Arial"/>
          <w:sz w:val="20"/>
          <w:szCs w:val="20"/>
        </w:rPr>
        <w:t>In the context of ABR</w:t>
      </w:r>
      <w:r w:rsidR="0031480A">
        <w:rPr>
          <w:rFonts w:ascii="Arial" w:hAnsi="Arial" w:cs="Arial"/>
          <w:sz w:val="20"/>
          <w:szCs w:val="20"/>
        </w:rPr>
        <w:t xml:space="preserve">, </w:t>
      </w:r>
      <w:r w:rsidR="00E737CB">
        <w:rPr>
          <w:rFonts w:ascii="Arial" w:hAnsi="Arial" w:cs="Arial"/>
          <w:sz w:val="20"/>
          <w:szCs w:val="20"/>
        </w:rPr>
        <w:t xml:space="preserve">theory </w:t>
      </w:r>
      <w:r w:rsidR="00FF04E2">
        <w:rPr>
          <w:rFonts w:ascii="Arial" w:hAnsi="Arial" w:cs="Arial"/>
          <w:sz w:val="20"/>
          <w:szCs w:val="20"/>
        </w:rPr>
        <w:t>has</w:t>
      </w:r>
      <w:r>
        <w:rPr>
          <w:rFonts w:ascii="Arial" w:hAnsi="Arial" w:cs="Arial"/>
          <w:sz w:val="20"/>
          <w:szCs w:val="20"/>
        </w:rPr>
        <w:t xml:space="preserve"> been used to understand the emergence of resistance and its interplay with community-acquired infection</w:t>
      </w:r>
      <w:r w:rsidR="00B2303E">
        <w:rPr>
          <w:rFonts w:ascii="Arial" w:hAnsi="Arial" w:cs="Arial"/>
          <w:sz w:val="20"/>
          <w:szCs w:val="20"/>
        </w:rPr>
        <w:t>s</w:t>
      </w:r>
      <w:r>
        <w:rPr>
          <w:rFonts w:ascii="Arial" w:hAnsi="Arial" w:cs="Arial"/>
          <w:sz w:val="20"/>
          <w:szCs w:val="20"/>
        </w:rPr>
        <w:t xml:space="preserve"> </w:t>
      </w:r>
      <w:r w:rsidRPr="00C8522B">
        <w:rPr>
          <w:rFonts w:ascii="Arial" w:hAnsi="Arial" w:cs="Arial"/>
          <w:sz w:val="20"/>
          <w:szCs w:val="20"/>
        </w:rPr>
        <w:fldChar w:fldCharType="begin"/>
      </w:r>
      <w:r w:rsidR="00557045">
        <w:rPr>
          <w:rFonts w:ascii="Arial" w:hAnsi="Arial" w:cs="Arial"/>
          <w:sz w:val="20"/>
          <w:szCs w:val="20"/>
        </w:rPr>
        <w:instrText xml:space="preserve"> ADDIN ZOTERO_ITEM CSL_CITATION {"citationID":"iqpcjcop","properties":{"formattedCitation":"\\super 17\\nosupersub{}","plainCitation":"17","noteIndex":0},"citationItems":[{"id":130,"uris":["http://zotero.org/users/9551388/items/IUTFA7I6"],"itemData":{"id":130,"type":"article-journal","abstract":"Hospital-acquired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557045" w:rsidRPr="00557045">
        <w:rPr>
          <w:rFonts w:ascii="Arial" w:hAnsi="Arial" w:cs="Arial"/>
          <w:sz w:val="20"/>
          <w:vertAlign w:val="superscript"/>
          <w:lang w:val="en-GB"/>
        </w:rPr>
        <w:t>17</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590AF7">
        <w:rPr>
          <w:rFonts w:ascii="Arial" w:hAnsi="Arial" w:cs="Arial"/>
          <w:sz w:val="20"/>
          <w:szCs w:val="20"/>
        </w:rPr>
        <w:instrText xml:space="preserve"> ADDIN ZOTERO_ITEM CSL_CITATION {"citationID":"r3HeQLSX","properties":{"formattedCitation":"\\super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590AF7" w:rsidRPr="00590AF7">
        <w:rPr>
          <w:rFonts w:ascii="Arial" w:hAnsi="Arial" w:cs="Arial"/>
          <w:sz w:val="20"/>
          <w:vertAlign w:val="superscript"/>
          <w:lang w:val="en-GB"/>
        </w:rPr>
        <w:t>6</w:t>
      </w:r>
      <w:r w:rsidRPr="00C8522B">
        <w:rPr>
          <w:rFonts w:ascii="Arial" w:hAnsi="Arial" w:cs="Arial"/>
          <w:sz w:val="20"/>
          <w:szCs w:val="20"/>
        </w:rPr>
        <w:fldChar w:fldCharType="end"/>
      </w:r>
      <w:r>
        <w:rPr>
          <w:rFonts w:ascii="Arial" w:hAnsi="Arial" w:cs="Arial"/>
          <w:sz w:val="20"/>
          <w:szCs w:val="20"/>
        </w:rPr>
        <w:t xml:space="preserve">, to assess control measures to reduce nosocomial transmission </w:t>
      </w:r>
      <w:r w:rsidRPr="00C8522B">
        <w:rPr>
          <w:rFonts w:ascii="Arial" w:hAnsi="Arial" w:cs="Arial"/>
          <w:sz w:val="20"/>
          <w:szCs w:val="20"/>
        </w:rPr>
        <w:fldChar w:fldCharType="begin"/>
      </w:r>
      <w:r w:rsidR="00557045">
        <w:rPr>
          <w:rFonts w:ascii="Arial" w:hAnsi="Arial" w:cs="Arial"/>
          <w:sz w:val="20"/>
          <w:szCs w:val="20"/>
        </w:rPr>
        <w:instrText xml:space="preserve"> ADDIN ZOTERO_ITEM CSL_CITATION {"citationID":"dxvu5D9Z","properties":{"formattedCitation":"\\super 16,18\\uc0\\u8211{}21\\nosupersub{}","plainCitation":"16,18–21","noteIndex":0},"citationItems":[{"id":132,"uris":["http://zotero.org/users/9551388/items/ZTS3IRMT"],"itemData":{"id":132,"type":"article-journal","abstract":"A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557045" w:rsidRPr="00557045">
        <w:rPr>
          <w:rFonts w:ascii="Arial" w:hAnsi="Arial" w:cs="Arial"/>
          <w:sz w:val="20"/>
          <w:vertAlign w:val="superscript"/>
          <w:lang w:val="en-GB"/>
        </w:rPr>
        <w:t>16,18–21</w:t>
      </w:r>
      <w:r w:rsidRPr="00C8522B">
        <w:rPr>
          <w:rFonts w:ascii="Arial" w:hAnsi="Arial" w:cs="Arial"/>
          <w:sz w:val="20"/>
          <w:szCs w:val="20"/>
        </w:rPr>
        <w:fldChar w:fldCharType="end"/>
      </w:r>
      <w:r w:rsidR="004033B5">
        <w:rPr>
          <w:rFonts w:ascii="Arial" w:hAnsi="Arial" w:cs="Arial"/>
          <w:sz w:val="20"/>
          <w:szCs w:val="20"/>
        </w:rPr>
        <w:t>,</w:t>
      </w:r>
      <w:r w:rsidR="00D57284">
        <w:rPr>
          <w:rFonts w:ascii="Arial" w:hAnsi="Arial" w:cs="Arial"/>
          <w:sz w:val="20"/>
          <w:szCs w:val="20"/>
        </w:rPr>
        <w:t xml:space="preserve"> </w:t>
      </w:r>
      <w:r w:rsidR="004033B5">
        <w:rPr>
          <w:rFonts w:ascii="Arial" w:hAnsi="Arial" w:cs="Arial"/>
          <w:sz w:val="20"/>
          <w:szCs w:val="20"/>
        </w:rPr>
        <w:t xml:space="preserve">and </w:t>
      </w:r>
      <w:r w:rsidR="00170E3A">
        <w:rPr>
          <w:rFonts w:ascii="Arial" w:hAnsi="Arial" w:cs="Arial"/>
          <w:sz w:val="20"/>
          <w:szCs w:val="20"/>
        </w:rPr>
        <w:t>has</w:t>
      </w:r>
      <w:r w:rsidR="004033B5">
        <w:rPr>
          <w:rFonts w:ascii="Arial" w:hAnsi="Arial" w:cs="Arial"/>
          <w:sz w:val="20"/>
          <w:szCs w:val="20"/>
        </w:rPr>
        <w:t xml:space="preserve"> been extended recently in pair with empirical observations to assess the role of competition of different strains at between-host level and the role of within</w:t>
      </w:r>
      <w:r w:rsidR="009D0C12">
        <w:rPr>
          <w:rFonts w:ascii="Arial" w:hAnsi="Arial" w:cs="Arial"/>
          <w:sz w:val="20"/>
          <w:szCs w:val="20"/>
        </w:rPr>
        <w:t>-</w:t>
      </w:r>
      <w:r w:rsidR="004033B5">
        <w:rPr>
          <w:rFonts w:ascii="Arial" w:hAnsi="Arial" w:cs="Arial"/>
          <w:sz w:val="20"/>
          <w:szCs w:val="20"/>
        </w:rPr>
        <w:t xml:space="preserve">host microbiome pathogen interactions </w:t>
      </w:r>
      <w:r w:rsidR="004033B5">
        <w:rPr>
          <w:rFonts w:ascii="Arial" w:hAnsi="Arial" w:cs="Arial"/>
          <w:sz w:val="20"/>
          <w:szCs w:val="20"/>
        </w:rPr>
        <w:fldChar w:fldCharType="begin"/>
      </w:r>
      <w:r w:rsidR="00557045">
        <w:rPr>
          <w:rFonts w:ascii="Arial" w:hAnsi="Arial" w:cs="Arial"/>
          <w:sz w:val="20"/>
          <w:szCs w:val="20"/>
        </w:rPr>
        <w:instrText xml:space="preserve"> ADDIN ZOTERO_ITEM CSL_CITATION {"citationID":"a2qanuomr2r","properties":{"formattedCitation":"\\super 22\\nosupersub{}","plainCitation":"22","noteIndex":0},"citationItems":[{"id":528,"uris":["http://zotero.org/users/9551388/items/VJGS9T7B"],"itemData":{"id":528,"type":"article-journal","abstract":"The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004033B5">
        <w:rPr>
          <w:rFonts w:ascii="Arial" w:hAnsi="Arial" w:cs="Arial"/>
          <w:sz w:val="20"/>
          <w:szCs w:val="20"/>
        </w:rPr>
        <w:fldChar w:fldCharType="separate"/>
      </w:r>
      <w:r w:rsidR="00557045" w:rsidRPr="00557045">
        <w:rPr>
          <w:rFonts w:ascii="Arial" w:hAnsi="Arial" w:cs="Arial"/>
          <w:sz w:val="20"/>
          <w:vertAlign w:val="superscript"/>
          <w:lang w:val="en-GB"/>
        </w:rPr>
        <w:t>22</w:t>
      </w:r>
      <w:r w:rsidR="004033B5">
        <w:rPr>
          <w:rFonts w:ascii="Arial" w:hAnsi="Arial" w:cs="Arial"/>
          <w:sz w:val="20"/>
          <w:szCs w:val="20"/>
        </w:rPr>
        <w:fldChar w:fldCharType="end"/>
      </w:r>
      <w:r w:rsidR="0044630F">
        <w:rPr>
          <w:rFonts w:ascii="Arial" w:hAnsi="Arial" w:cs="Arial"/>
          <w:sz w:val="20"/>
          <w:szCs w:val="20"/>
        </w:rPr>
        <w:t>.</w:t>
      </w:r>
    </w:p>
    <w:p w14:paraId="491E7A89" w14:textId="332986FE" w:rsidR="00C96F86" w:rsidRDefault="005E4095" w:rsidP="00621786">
      <w:pPr>
        <w:spacing w:line="360" w:lineRule="auto"/>
        <w:jc w:val="both"/>
        <w:rPr>
          <w:rFonts w:ascii="Arial" w:hAnsi="Arial" w:cs="Arial"/>
          <w:sz w:val="20"/>
          <w:szCs w:val="20"/>
        </w:rPr>
      </w:pPr>
      <w:r>
        <w:rPr>
          <w:rFonts w:ascii="Arial" w:hAnsi="Arial" w:cs="Arial"/>
          <w:sz w:val="20"/>
          <w:szCs w:val="20"/>
        </w:rPr>
        <w:t>However, most existing modeling studies focus</w:t>
      </w:r>
      <w:r w:rsidR="00A56BC0">
        <w:rPr>
          <w:rFonts w:ascii="Arial" w:hAnsi="Arial" w:cs="Arial"/>
          <w:sz w:val="20"/>
          <w:szCs w:val="20"/>
        </w:rPr>
        <w:t xml:space="preserve"> on general theoretical </w:t>
      </w:r>
      <w:r w:rsidR="00321B8A">
        <w:rPr>
          <w:rFonts w:ascii="Arial" w:hAnsi="Arial" w:cs="Arial"/>
          <w:sz w:val="20"/>
          <w:szCs w:val="20"/>
        </w:rPr>
        <w:t>frameworks</w:t>
      </w:r>
      <w:r w:rsidR="00A56BC0">
        <w:rPr>
          <w:rFonts w:ascii="Arial" w:hAnsi="Arial" w:cs="Arial"/>
          <w:sz w:val="20"/>
          <w:szCs w:val="20"/>
        </w:rPr>
        <w:t xml:space="preserve"> of A</w:t>
      </w:r>
      <w:r w:rsidR="00930659">
        <w:rPr>
          <w:rFonts w:ascii="Arial" w:hAnsi="Arial" w:cs="Arial"/>
          <w:sz w:val="20"/>
          <w:szCs w:val="20"/>
        </w:rPr>
        <w:t>B</w:t>
      </w:r>
      <w:r w:rsidR="00A56BC0">
        <w:rPr>
          <w:rFonts w:ascii="Arial" w:hAnsi="Arial" w:cs="Arial"/>
          <w:sz w:val="20"/>
          <w:szCs w:val="20"/>
        </w:rPr>
        <w:t>R</w:t>
      </w:r>
      <w:r w:rsidR="00BC262F">
        <w:rPr>
          <w:rFonts w:ascii="Arial" w:hAnsi="Arial" w:cs="Arial"/>
          <w:sz w:val="20"/>
          <w:szCs w:val="20"/>
        </w:rPr>
        <w:t xml:space="preserve"> organisms</w:t>
      </w:r>
      <w:r w:rsidR="00A56BC0">
        <w:rPr>
          <w:rFonts w:ascii="Arial" w:hAnsi="Arial" w:cs="Arial"/>
          <w:sz w:val="20"/>
          <w:szCs w:val="20"/>
        </w:rPr>
        <w:t xml:space="preserve"> </w:t>
      </w:r>
      <w:r w:rsidR="00A56BC0" w:rsidRPr="00C8522B">
        <w:rPr>
          <w:rFonts w:ascii="Arial" w:hAnsi="Arial" w:cs="Arial"/>
          <w:sz w:val="20"/>
          <w:szCs w:val="20"/>
        </w:rPr>
        <w:fldChar w:fldCharType="begin"/>
      </w:r>
      <w:r w:rsidR="007E4B75">
        <w:rPr>
          <w:rFonts w:ascii="Arial" w:hAnsi="Arial" w:cs="Arial"/>
          <w:sz w:val="20"/>
          <w:szCs w:val="20"/>
        </w:rPr>
        <w:instrText xml:space="preserve"> ADDIN ZOTERO_ITEM CSL_CITATION {"citationID":"a9irpil5kv","properties":{"formattedCitation":"\\super 6,16,17,22\\uc0\\u8211{}24\\nosupersub{}","plainCitation":"6,16,17,22–24","noteIndex":0},"citationItems":[{"id":131,"uris":["http://zotero.org/users/9551388/items/XRNEV696"],"itemData":{"id":131,"type":"article-journal","abstract":"The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M."}],"issued":{"date-parts":[["1999",2,2]]}}}],"schema":"https://github.com/citation-style-language/schema/raw/master/csl-citation.json"} </w:instrText>
      </w:r>
      <w:r w:rsidR="00A56BC0" w:rsidRPr="00C8522B">
        <w:rPr>
          <w:rFonts w:ascii="Arial" w:hAnsi="Arial" w:cs="Arial"/>
          <w:sz w:val="20"/>
          <w:szCs w:val="20"/>
        </w:rPr>
        <w:fldChar w:fldCharType="separate"/>
      </w:r>
      <w:r w:rsidR="007E4B75" w:rsidRPr="007E4B75">
        <w:rPr>
          <w:rFonts w:ascii="Arial" w:hAnsi="Arial" w:cs="Arial"/>
          <w:sz w:val="20"/>
          <w:vertAlign w:val="superscript"/>
          <w:lang w:val="en-GB"/>
        </w:rPr>
        <w:t>6,16,17,22–24</w:t>
      </w:r>
      <w:r w:rsidR="00A56BC0" w:rsidRPr="00C8522B">
        <w:rPr>
          <w:rFonts w:ascii="Arial" w:hAnsi="Arial" w:cs="Arial"/>
          <w:sz w:val="20"/>
          <w:szCs w:val="20"/>
        </w:rPr>
        <w:fldChar w:fldCharType="end"/>
      </w:r>
      <w:r w:rsidR="004332C2">
        <w:rPr>
          <w:rFonts w:ascii="Arial" w:hAnsi="Arial" w:cs="Arial"/>
          <w:sz w:val="20"/>
          <w:szCs w:val="20"/>
        </w:rPr>
        <w:t xml:space="preserve"> w</w:t>
      </w:r>
      <w:r w:rsidR="006D5BEB">
        <w:rPr>
          <w:rFonts w:ascii="Arial" w:hAnsi="Arial" w:cs="Arial"/>
          <w:sz w:val="20"/>
          <w:szCs w:val="20"/>
        </w:rPr>
        <w:t>h</w:t>
      </w:r>
      <w:r w:rsidR="004332C2">
        <w:rPr>
          <w:rFonts w:ascii="Arial" w:hAnsi="Arial" w:cs="Arial"/>
          <w:sz w:val="20"/>
          <w:szCs w:val="20"/>
        </w:rPr>
        <w:t xml:space="preserve">ere empirical observations </w:t>
      </w:r>
      <w:r w:rsidR="00481515">
        <w:rPr>
          <w:rFonts w:ascii="Arial" w:hAnsi="Arial" w:cs="Arial"/>
          <w:sz w:val="20"/>
          <w:szCs w:val="20"/>
        </w:rPr>
        <w:t>presumably</w:t>
      </w:r>
      <w:r w:rsidR="004332C2">
        <w:rPr>
          <w:rFonts w:ascii="Arial" w:hAnsi="Arial" w:cs="Arial"/>
          <w:sz w:val="20"/>
          <w:szCs w:val="20"/>
        </w:rPr>
        <w:t xml:space="preserve"> drive the modeling</w:t>
      </w:r>
      <w:r w:rsidR="004A5ED0">
        <w:rPr>
          <w:rFonts w:ascii="Arial" w:hAnsi="Arial" w:cs="Arial"/>
          <w:sz w:val="20"/>
          <w:szCs w:val="20"/>
        </w:rPr>
        <w:t xml:space="preserve"> but</w:t>
      </w:r>
      <w:r w:rsidR="002D41AA">
        <w:rPr>
          <w:rFonts w:ascii="Arial" w:hAnsi="Arial" w:cs="Arial"/>
          <w:sz w:val="20"/>
          <w:szCs w:val="20"/>
        </w:rPr>
        <w:t xml:space="preserve"> </w:t>
      </w:r>
      <w:r w:rsidR="00E737CB">
        <w:rPr>
          <w:rFonts w:ascii="Arial" w:hAnsi="Arial" w:cs="Arial"/>
          <w:sz w:val="20"/>
          <w:szCs w:val="20"/>
        </w:rPr>
        <w:t xml:space="preserve">interrogation with empirical data </w:t>
      </w:r>
      <w:r w:rsidR="0074163E">
        <w:rPr>
          <w:rFonts w:ascii="Arial" w:hAnsi="Arial" w:cs="Arial"/>
          <w:sz w:val="20"/>
          <w:szCs w:val="20"/>
        </w:rPr>
        <w:t>lacks</w:t>
      </w:r>
      <w:r w:rsidR="00D45071">
        <w:rPr>
          <w:rFonts w:ascii="Arial" w:hAnsi="Arial" w:cs="Arial"/>
          <w:sz w:val="20"/>
          <w:szCs w:val="20"/>
        </w:rPr>
        <w:t>.</w:t>
      </w:r>
      <w:r w:rsidR="00D57284">
        <w:rPr>
          <w:rFonts w:ascii="Arial" w:hAnsi="Arial" w:cs="Arial"/>
          <w:sz w:val="20"/>
          <w:szCs w:val="20"/>
        </w:rPr>
        <w:t xml:space="preserve"> </w:t>
      </w:r>
      <w:r w:rsidR="00654C0F">
        <w:rPr>
          <w:rFonts w:ascii="Arial" w:hAnsi="Arial" w:cs="Arial"/>
          <w:sz w:val="20"/>
          <w:szCs w:val="20"/>
        </w:rPr>
        <w:t>D</w:t>
      </w:r>
      <w:r w:rsidR="00A56BC0">
        <w:rPr>
          <w:rFonts w:ascii="Arial" w:hAnsi="Arial" w:cs="Arial"/>
          <w:sz w:val="20"/>
          <w:szCs w:val="20"/>
        </w:rPr>
        <w:t xml:space="preserve">espite the recognized fact that process-based models must be </w:t>
      </w:r>
      <w:r w:rsidR="00803FD4">
        <w:rPr>
          <w:rFonts w:ascii="Arial" w:hAnsi="Arial" w:cs="Arial"/>
          <w:sz w:val="20"/>
          <w:szCs w:val="20"/>
        </w:rPr>
        <w:t>questioned</w:t>
      </w:r>
      <w:r w:rsidR="0074163E">
        <w:rPr>
          <w:rFonts w:ascii="Arial" w:hAnsi="Arial" w:cs="Arial"/>
          <w:sz w:val="20"/>
          <w:szCs w:val="20"/>
        </w:rPr>
        <w:t xml:space="preserve"> </w:t>
      </w:r>
      <w:r w:rsidR="00A56BC0">
        <w:rPr>
          <w:rFonts w:ascii="Arial" w:hAnsi="Arial" w:cs="Arial"/>
          <w:sz w:val="20"/>
          <w:szCs w:val="20"/>
        </w:rPr>
        <w:t>with empirical data before being used as reliable tools for public health</w:t>
      </w:r>
      <w:r w:rsidR="004C49A2">
        <w:rPr>
          <w:rFonts w:ascii="Arial" w:hAnsi="Arial" w:cs="Arial"/>
          <w:sz w:val="20"/>
          <w:szCs w:val="20"/>
        </w:rPr>
        <w:t xml:space="preserve"> </w:t>
      </w:r>
      <w:r w:rsidR="00A56BC0">
        <w:rPr>
          <w:rFonts w:ascii="Arial" w:hAnsi="Arial" w:cs="Arial"/>
          <w:sz w:val="20"/>
          <w:szCs w:val="20"/>
        </w:rPr>
        <w:fldChar w:fldCharType="begin"/>
      </w:r>
      <w:r w:rsidR="003F627C">
        <w:rPr>
          <w:rFonts w:ascii="Arial" w:hAnsi="Arial" w:cs="Arial"/>
          <w:sz w:val="20"/>
          <w:szCs w:val="20"/>
        </w:rPr>
        <w:instrText xml:space="preserve"> ADDIN ZOTERO_ITEM CSL_CITATION {"citationID":"a22s0as1ans","properties":{"formattedCitation":"\\super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3F627C" w:rsidRPr="003F627C">
        <w:rPr>
          <w:rFonts w:ascii="Arial" w:hAnsi="Arial" w:cs="Arial"/>
          <w:sz w:val="20"/>
          <w:vertAlign w:val="superscript"/>
          <w:lang w:val="en-GB"/>
        </w:rPr>
        <w:t>5</w:t>
      </w:r>
      <w:r w:rsidR="00A56BC0">
        <w:rPr>
          <w:rFonts w:ascii="Arial" w:hAnsi="Arial" w:cs="Arial"/>
          <w:sz w:val="20"/>
          <w:szCs w:val="20"/>
        </w:rPr>
        <w:fldChar w:fldCharType="end"/>
      </w:r>
      <w:r w:rsidR="00B84812">
        <w:rPr>
          <w:rFonts w:ascii="Arial" w:hAnsi="Arial" w:cs="Arial"/>
          <w:sz w:val="20"/>
          <w:szCs w:val="20"/>
        </w:rPr>
        <w:t xml:space="preserve"> few </w:t>
      </w:r>
      <w:r w:rsidR="000632D3">
        <w:rPr>
          <w:rFonts w:ascii="Arial" w:hAnsi="Arial" w:cs="Arial"/>
          <w:sz w:val="20"/>
          <w:szCs w:val="20"/>
        </w:rPr>
        <w:t xml:space="preserve">ABRO modeling </w:t>
      </w:r>
      <w:r w:rsidR="00B84812">
        <w:rPr>
          <w:rFonts w:ascii="Arial" w:hAnsi="Arial" w:cs="Arial"/>
          <w:sz w:val="20"/>
          <w:szCs w:val="20"/>
        </w:rPr>
        <w:t xml:space="preserve">studies </w:t>
      </w:r>
      <w:r w:rsidR="00885288">
        <w:rPr>
          <w:rFonts w:ascii="Arial" w:hAnsi="Arial" w:cs="Arial"/>
          <w:sz w:val="20"/>
          <w:szCs w:val="20"/>
        </w:rPr>
        <w:t xml:space="preserve">constrained models with data </w:t>
      </w:r>
      <w:r w:rsidR="00885288">
        <w:rPr>
          <w:rFonts w:ascii="Arial" w:hAnsi="Arial" w:cs="Arial"/>
          <w:sz w:val="20"/>
          <w:szCs w:val="20"/>
        </w:rPr>
        <w:fldChar w:fldCharType="begin"/>
      </w:r>
      <w:r w:rsidR="00557045">
        <w:rPr>
          <w:rFonts w:ascii="Arial" w:hAnsi="Arial" w:cs="Arial"/>
          <w:sz w:val="20"/>
          <w:szCs w:val="20"/>
        </w:rPr>
        <w:instrText xml:space="preserve"> ADDIN ZOTERO_ITEM CSL_CITATION {"citationID":"a14pm9nk0s4","properties":{"formattedCitation":"\\super 4,18,21\\nosupersub{}","plainCitation":"4,18,21","noteIndex":0},"citationItems":[{"id":135,"uris":["http://zotero.org/users/9551388/items/D85TW3FM"],"itemData":{"id":135,"type":"article-journal","abstract":"Methicillin-resistant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885288">
        <w:rPr>
          <w:rFonts w:ascii="Arial" w:hAnsi="Arial" w:cs="Arial"/>
          <w:sz w:val="20"/>
          <w:szCs w:val="20"/>
        </w:rPr>
        <w:fldChar w:fldCharType="separate"/>
      </w:r>
      <w:r w:rsidR="00557045" w:rsidRPr="00557045">
        <w:rPr>
          <w:rFonts w:ascii="Arial" w:hAnsi="Arial" w:cs="Arial"/>
          <w:sz w:val="20"/>
          <w:vertAlign w:val="superscript"/>
          <w:lang w:val="en-GB"/>
        </w:rPr>
        <w:t>4,18,21</w:t>
      </w:r>
      <w:r w:rsidR="00885288">
        <w:rPr>
          <w:rFonts w:ascii="Arial" w:hAnsi="Arial" w:cs="Arial"/>
          <w:sz w:val="20"/>
          <w:szCs w:val="20"/>
        </w:rPr>
        <w:fldChar w:fldCharType="end"/>
      </w:r>
      <w:r w:rsidR="00880D1C">
        <w:rPr>
          <w:rFonts w:ascii="Arial" w:hAnsi="Arial" w:cs="Arial"/>
          <w:sz w:val="20"/>
          <w:szCs w:val="20"/>
        </w:rPr>
        <w:t xml:space="preserve">. </w:t>
      </w:r>
      <w:r w:rsidR="006F2519">
        <w:rPr>
          <w:rFonts w:ascii="Arial" w:hAnsi="Arial" w:cs="Arial"/>
          <w:sz w:val="20"/>
          <w:szCs w:val="20"/>
        </w:rPr>
        <w:t>Furthermore</w:t>
      </w:r>
      <w:r w:rsidR="009B54CA">
        <w:rPr>
          <w:rFonts w:ascii="Arial" w:hAnsi="Arial" w:cs="Arial"/>
          <w:sz w:val="20"/>
          <w:szCs w:val="20"/>
        </w:rPr>
        <w:t>,</w:t>
      </w:r>
      <w:r w:rsidR="00D45071">
        <w:rPr>
          <w:rFonts w:ascii="Arial" w:hAnsi="Arial" w:cs="Arial"/>
          <w:sz w:val="20"/>
          <w:szCs w:val="20"/>
        </w:rPr>
        <w:t xml:space="preserve"> i</w:t>
      </w:r>
      <w:r w:rsidR="00E737CB">
        <w:rPr>
          <w:rFonts w:ascii="Arial" w:hAnsi="Arial" w:cs="Arial"/>
          <w:sz w:val="20"/>
          <w:szCs w:val="20"/>
        </w:rPr>
        <w:t xml:space="preserve">nvestigations </w:t>
      </w:r>
      <w:r w:rsidR="0001617A">
        <w:rPr>
          <w:rFonts w:ascii="Arial" w:hAnsi="Arial" w:cs="Arial"/>
          <w:sz w:val="20"/>
          <w:szCs w:val="20"/>
        </w:rPr>
        <w:t xml:space="preserve">using </w:t>
      </w:r>
      <w:r w:rsidR="008305D2">
        <w:rPr>
          <w:rFonts w:ascii="Arial" w:hAnsi="Arial" w:cs="Arial"/>
          <w:sz w:val="20"/>
          <w:szCs w:val="20"/>
        </w:rPr>
        <w:t>simulation-based</w:t>
      </w:r>
      <w:r w:rsidR="00A56BC0">
        <w:rPr>
          <w:rFonts w:ascii="Arial" w:hAnsi="Arial" w:cs="Arial"/>
          <w:sz w:val="20"/>
          <w:szCs w:val="20"/>
        </w:rPr>
        <w:t xml:space="preserve"> inference</w:t>
      </w:r>
      <w:ins w:id="5" w:author="Cascante Vega, Jaime E." w:date="2023-04-27T16:46:00Z">
        <w:r w:rsidR="00871937">
          <w:rPr>
            <w:rFonts w:ascii="Arial" w:hAnsi="Arial" w:cs="Arial"/>
            <w:sz w:val="20"/>
            <w:szCs w:val="20"/>
          </w:rPr>
          <w:t xml:space="preserve"> </w:t>
        </w:r>
      </w:ins>
      <w:r w:rsidR="00871937">
        <w:rPr>
          <w:rFonts w:ascii="Arial" w:hAnsi="Arial" w:cs="Arial"/>
          <w:sz w:val="20"/>
          <w:szCs w:val="20"/>
        </w:rPr>
        <w:fldChar w:fldCharType="begin"/>
      </w:r>
      <w:r w:rsidR="00697AC4">
        <w:rPr>
          <w:rFonts w:ascii="Arial" w:hAnsi="Arial" w:cs="Arial"/>
          <w:sz w:val="20"/>
          <w:szCs w:val="20"/>
        </w:rPr>
        <w:instrText xml:space="preserve"> ADDIN ZOTERO_ITEM CSL_CITATION {"citationID":"a1kdgsnupev","properties":{"formattedCitation":"\\super 25\\nosupersub{}","plainCitation":"25","noteIndex":0},"citationItems":[{"id":642,"uris":["http://zotero.org/users/9551388/items/NRHHGBEZ"],"itemData":{"id":642,"type":"article-journal","abstract":"Many domains of science have developed complex simulations to describe phenomena of interest. While these simulations provide high-fidelity models, they are poorly suited for inference and lead to challenging inverse problems. We review the rapidly developing field of simulation-based inference and identify the forces giving additional momentum to the field. Finally, we describe how the frontier is expanding so that a broad audience can appreciate the profound influence these developments may have on science.","container-title":"Proceedings of the National Academy of Sciences","DOI":"10.1073/pnas.1912789117","ISSN":"0027-8424, 1091-6490","issue":"48","journalAbbreviation":"Proc. Natl. Acad. Sci. U.S.A.","language":"en","page":"30055-30062","source":"DOI.org (Crossref)","title":"The frontier of simulation-based inference","volume":"117","author":[{"family":"Cranmer","given":"Kyle"},{"family":"Brehmer","given":"Johann"},{"family":"Louppe","given":"Gilles"}],"issued":{"date-parts":[["2020",12]]}}}],"schema":"https://github.com/citation-style-language/schema/raw/master/csl-citation.json"} </w:instrText>
      </w:r>
      <w:r w:rsidR="00871937">
        <w:rPr>
          <w:rFonts w:ascii="Arial" w:hAnsi="Arial" w:cs="Arial"/>
          <w:sz w:val="20"/>
          <w:szCs w:val="20"/>
        </w:rPr>
        <w:fldChar w:fldCharType="separate"/>
      </w:r>
      <w:r w:rsidR="00697AC4" w:rsidRPr="00697AC4">
        <w:rPr>
          <w:rFonts w:ascii="Arial" w:hAnsi="Arial" w:cs="Arial"/>
          <w:sz w:val="20"/>
          <w:vertAlign w:val="superscript"/>
          <w:lang w:val="en-GB"/>
        </w:rPr>
        <w:t>25</w:t>
      </w:r>
      <w:r w:rsidR="00871937">
        <w:rPr>
          <w:rFonts w:ascii="Arial" w:hAnsi="Arial" w:cs="Arial"/>
          <w:sz w:val="20"/>
          <w:szCs w:val="20"/>
        </w:rPr>
        <w:fldChar w:fldCharType="end"/>
      </w:r>
      <w:r w:rsidR="00A56BC0">
        <w:rPr>
          <w:rFonts w:ascii="Arial" w:hAnsi="Arial" w:cs="Arial"/>
          <w:sz w:val="20"/>
          <w:szCs w:val="20"/>
        </w:rPr>
        <w:t xml:space="preserve"> tools</w:t>
      </w:r>
      <w:r w:rsidR="00E737CB">
        <w:rPr>
          <w:rFonts w:ascii="Arial" w:hAnsi="Arial" w:cs="Arial"/>
          <w:sz w:val="20"/>
          <w:szCs w:val="20"/>
        </w:rPr>
        <w:t xml:space="preserve">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A</w:t>
      </w:r>
      <w:ins w:id="6" w:author="Cascante Vega, Jaime E." w:date="2023-04-27T16:46:00Z">
        <w:r w:rsidR="00871937">
          <w:rPr>
            <w:rFonts w:ascii="Arial" w:hAnsi="Arial" w:cs="Arial"/>
            <w:sz w:val="20"/>
            <w:szCs w:val="20"/>
          </w:rPr>
          <w:t>B</w:t>
        </w:r>
      </w:ins>
      <w:del w:id="7" w:author="Cascante Vega, Jaime E." w:date="2023-04-27T16:46:00Z">
        <w:r w:rsidDel="00871937">
          <w:rPr>
            <w:rFonts w:ascii="Arial" w:hAnsi="Arial" w:cs="Arial"/>
            <w:sz w:val="20"/>
            <w:szCs w:val="20"/>
          </w:rPr>
          <w:delText>M</w:delText>
        </w:r>
      </w:del>
      <w:r>
        <w:rPr>
          <w:rFonts w:ascii="Arial" w:hAnsi="Arial" w:cs="Arial"/>
          <w:sz w:val="20"/>
          <w:szCs w:val="20"/>
        </w:rPr>
        <w:t>ROs of interest such as (MRSA)</w:t>
      </w:r>
      <w:r w:rsidR="000632D3">
        <w:rPr>
          <w:rFonts w:ascii="Arial" w:hAnsi="Arial" w:cs="Arial"/>
          <w:sz w:val="20"/>
          <w:szCs w:val="20"/>
        </w:rPr>
        <w:t xml:space="preserve"> </w:t>
      </w:r>
      <w:r w:rsidR="000632D3">
        <w:rPr>
          <w:rFonts w:ascii="Arial" w:hAnsi="Arial" w:cs="Arial"/>
          <w:sz w:val="20"/>
          <w:szCs w:val="20"/>
        </w:rPr>
        <w:fldChar w:fldCharType="begin"/>
      </w:r>
      <w:r w:rsidR="00697AC4">
        <w:rPr>
          <w:rFonts w:ascii="Arial" w:hAnsi="Arial" w:cs="Arial"/>
          <w:sz w:val="20"/>
          <w:szCs w:val="20"/>
        </w:rPr>
        <w:instrText xml:space="preserve"> ADDIN ZOTERO_ITEM CSL_CITATION {"citationID":"a26e1sinie7","properties":{"formattedCitation":"\\super 7,18,21,26\\nosupersub{}","plainCitation":"7,18,21,26","noteIndex":0},"citationItems":[{"id":135,"uris":["http://zotero.org/users/9551388/items/D85TW3FM"],"itemData":{"id":135,"type":"article-journal","abstract":"Methicillin-resistant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L"}],"issued":{"date-parts":[["2018",12,18]]}},"label":"page"},{"id":440,"uris":["http://zotero.org/users/9551388/items/2DRUTVTL"],"itemData":{"id":440,"type":"article-journal","abstract":"Significance\n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0632D3">
        <w:rPr>
          <w:rFonts w:ascii="Arial" w:hAnsi="Arial" w:cs="Arial"/>
          <w:sz w:val="20"/>
          <w:szCs w:val="20"/>
        </w:rPr>
        <w:fldChar w:fldCharType="separate"/>
      </w:r>
      <w:r w:rsidR="00697AC4" w:rsidRPr="00697AC4">
        <w:rPr>
          <w:rFonts w:ascii="Arial" w:hAnsi="Arial" w:cs="Arial"/>
          <w:sz w:val="20"/>
          <w:vertAlign w:val="superscript"/>
          <w:lang w:val="en-GB"/>
        </w:rPr>
        <w:t>7,18,21,26</w:t>
      </w:r>
      <w:r w:rsidR="000632D3">
        <w:rPr>
          <w:rFonts w:ascii="Arial" w:hAnsi="Arial" w:cs="Arial"/>
          <w:sz w:val="20"/>
          <w:szCs w:val="20"/>
        </w:rPr>
        <w:fldChar w:fldCharType="end"/>
      </w:r>
      <w:r w:rsidR="00B10D1F">
        <w:rPr>
          <w:rFonts w:ascii="Arial" w:hAnsi="Arial" w:cs="Arial"/>
          <w:sz w:val="20"/>
          <w:szCs w:val="20"/>
        </w:rPr>
        <w:t>,</w:t>
      </w:r>
      <w:r>
        <w:rPr>
          <w:rFonts w:ascii="Arial" w:hAnsi="Arial" w:cs="Arial"/>
          <w:sz w:val="20"/>
          <w:szCs w:val="20"/>
        </w:rPr>
        <w:t xml:space="preserve"> </w:t>
      </w:r>
      <w:r w:rsidR="000632D3">
        <w:rPr>
          <w:rFonts w:ascii="Arial" w:hAnsi="Arial" w:cs="Arial"/>
          <w:i/>
          <w:iCs/>
          <w:sz w:val="20"/>
          <w:szCs w:val="20"/>
        </w:rPr>
        <w:t>P</w:t>
      </w:r>
      <w:r w:rsidRPr="0024105A">
        <w:rPr>
          <w:rFonts w:ascii="Arial" w:hAnsi="Arial" w:cs="Arial"/>
          <w:i/>
          <w:iCs/>
          <w:sz w:val="20"/>
          <w:szCs w:val="20"/>
        </w:rPr>
        <w:t xml:space="preserve">. </w:t>
      </w:r>
      <w:r w:rsidR="000632D3">
        <w:rPr>
          <w:rFonts w:ascii="Arial" w:hAnsi="Arial" w:cs="Arial"/>
          <w:i/>
          <w:iCs/>
          <w:sz w:val="20"/>
          <w:szCs w:val="20"/>
        </w:rPr>
        <w:t xml:space="preserve">aeuruginosa </w:t>
      </w:r>
      <w:r w:rsidR="000632D3">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{"citationID":"a2e35hn3en8","properties":{"formattedCitation":"\\super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0632D3">
        <w:rPr>
          <w:rFonts w:ascii="Arial" w:hAnsi="Arial" w:cs="Arial"/>
          <w:i/>
          <w:iCs/>
          <w:sz w:val="20"/>
          <w:szCs w:val="20"/>
        </w:rPr>
        <w:fldChar w:fldCharType="separate"/>
      </w:r>
      <w:r w:rsidR="00557045" w:rsidRPr="00557045">
        <w:rPr>
          <w:rFonts w:ascii="Arial" w:hAnsi="Arial" w:cs="Arial"/>
          <w:sz w:val="20"/>
          <w:vertAlign w:val="superscript"/>
          <w:lang w:val="en-GB"/>
        </w:rPr>
        <w:t>4</w:t>
      </w:r>
      <w:r w:rsidR="000632D3">
        <w:rPr>
          <w:rFonts w:ascii="Arial" w:hAnsi="Arial" w:cs="Arial"/>
          <w:i/>
          <w:iCs/>
          <w:sz w:val="20"/>
          <w:szCs w:val="20"/>
        </w:rPr>
        <w:fldChar w:fldCharType="end"/>
      </w:r>
      <w:r w:rsidR="00B10D1F">
        <w:rPr>
          <w:rFonts w:ascii="Arial" w:hAnsi="Arial" w:cs="Arial"/>
          <w:i/>
          <w:iCs/>
          <w:sz w:val="20"/>
          <w:szCs w:val="20"/>
        </w:rPr>
        <w:t xml:space="preserve">,  </w:t>
      </w:r>
      <w:r w:rsidR="00B10D1F" w:rsidRPr="00B10D1F">
        <w:rPr>
          <w:rFonts w:ascii="Arial" w:hAnsi="Arial" w:cs="Arial"/>
          <w:i/>
          <w:iCs/>
          <w:sz w:val="20"/>
          <w:szCs w:val="20"/>
        </w:rPr>
        <w:t>C</w:t>
      </w:r>
      <w:r w:rsidR="00E62FBD">
        <w:rPr>
          <w:rFonts w:ascii="Arial" w:hAnsi="Arial" w:cs="Arial"/>
          <w:i/>
          <w:iCs/>
          <w:sz w:val="20"/>
          <w:szCs w:val="20"/>
        </w:rPr>
        <w:t>.</w:t>
      </w:r>
      <w:r w:rsidR="00B10D1F" w:rsidRPr="00B10D1F">
        <w:rPr>
          <w:rFonts w:ascii="Arial" w:hAnsi="Arial" w:cs="Arial"/>
          <w:i/>
          <w:iCs/>
          <w:sz w:val="20"/>
          <w:szCs w:val="20"/>
        </w:rPr>
        <w:t xml:space="preserve"> difficil</w:t>
      </w:r>
      <w:r w:rsidR="00B10D1F">
        <w:rPr>
          <w:rFonts w:ascii="Arial" w:hAnsi="Arial" w:cs="Arial"/>
          <w:i/>
          <w:iCs/>
          <w:sz w:val="20"/>
          <w:szCs w:val="20"/>
        </w:rPr>
        <w:t xml:space="preserve"> </w:t>
      </w:r>
      <w:r w:rsidR="00B10D1F">
        <w:rPr>
          <w:rFonts w:ascii="Arial" w:hAnsi="Arial" w:cs="Arial"/>
          <w:i/>
          <w:iCs/>
          <w:sz w:val="20"/>
          <w:szCs w:val="20"/>
        </w:rPr>
        <w:fldChar w:fldCharType="begin"/>
      </w:r>
      <w:r w:rsidR="00697AC4">
        <w:rPr>
          <w:rFonts w:ascii="Arial" w:hAnsi="Arial" w:cs="Arial"/>
          <w:i/>
          <w:iCs/>
          <w:sz w:val="20"/>
          <w:szCs w:val="20"/>
        </w:rPr>
        <w:instrText xml:space="preserve"> ADDIN ZOTERO_ITEM CSL_CITATION {"citationID":"a23jdushi7v","properties":{"formattedCitation":"\\super 27\\nosupersub{}","plainCitation":"27","noteIndex":0},"citationItems":[{"id":612,"uris":["http://zotero.org/users/9551388/items/UJC78S5P"],"itemData":{"id":612,"type":"article-journal","abstract":"Fitting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B10D1F">
        <w:rPr>
          <w:rFonts w:ascii="Arial" w:hAnsi="Arial" w:cs="Arial"/>
          <w:i/>
          <w:iCs/>
          <w:sz w:val="20"/>
          <w:szCs w:val="20"/>
        </w:rPr>
        <w:fldChar w:fldCharType="separate"/>
      </w:r>
      <w:r w:rsidR="00697AC4" w:rsidRPr="00697AC4">
        <w:rPr>
          <w:rFonts w:ascii="Arial" w:hAnsi="Arial" w:cs="Arial"/>
          <w:sz w:val="20"/>
          <w:vertAlign w:val="superscript"/>
          <w:lang w:val="en-GB"/>
        </w:rPr>
        <w:t>27</w:t>
      </w:r>
      <w:r w:rsidR="00B10D1F">
        <w:rPr>
          <w:rFonts w:ascii="Arial" w:hAnsi="Arial" w:cs="Arial"/>
          <w:i/>
          <w:iCs/>
          <w:sz w:val="20"/>
          <w:szCs w:val="20"/>
        </w:rPr>
        <w:fldChar w:fldCharType="end"/>
      </w:r>
      <w:r w:rsidR="00B10D1F">
        <w:rPr>
          <w:rFonts w:ascii="Arial" w:hAnsi="Arial" w:cs="Arial"/>
          <w:i/>
          <w:iCs/>
          <w:sz w:val="20"/>
          <w:szCs w:val="20"/>
        </w:rPr>
        <w:t>, V</w:t>
      </w:r>
      <w:r w:rsidR="00B10D1F" w:rsidRPr="00B10D1F">
        <w:rPr>
          <w:rFonts w:ascii="Arial" w:hAnsi="Arial" w:cs="Arial"/>
          <w:i/>
          <w:iCs/>
          <w:sz w:val="20"/>
          <w:szCs w:val="20"/>
        </w:rPr>
        <w:t>ancomycin-resistant enterococci</w:t>
      </w:r>
      <w:r w:rsidR="000E36FD">
        <w:rPr>
          <w:rFonts w:ascii="Arial" w:hAnsi="Arial" w:cs="Arial"/>
          <w:i/>
          <w:iCs/>
          <w:sz w:val="20"/>
          <w:szCs w:val="20"/>
        </w:rPr>
        <w:t xml:space="preserve"> </w:t>
      </w:r>
      <w:r w:rsidR="000E36FD">
        <w:rPr>
          <w:rFonts w:ascii="Arial" w:hAnsi="Arial" w:cs="Arial"/>
          <w:sz w:val="20"/>
          <w:szCs w:val="20"/>
        </w:rPr>
        <w:t>(VRE)</w:t>
      </w:r>
      <w:r w:rsidR="00B10D1F">
        <w:rPr>
          <w:rFonts w:ascii="Arial" w:hAnsi="Arial" w:cs="Arial"/>
          <w:i/>
          <w:iCs/>
          <w:sz w:val="20"/>
          <w:szCs w:val="20"/>
        </w:rPr>
        <w:t xml:space="preserve"> </w:t>
      </w:r>
      <w:r w:rsidR="00B10D1F">
        <w:rPr>
          <w:rFonts w:ascii="Arial" w:hAnsi="Arial" w:cs="Arial"/>
          <w:i/>
          <w:iCs/>
          <w:sz w:val="20"/>
          <w:szCs w:val="20"/>
        </w:rPr>
        <w:fldChar w:fldCharType="begin"/>
      </w:r>
      <w:r w:rsidR="00697AC4">
        <w:rPr>
          <w:rFonts w:ascii="Arial" w:hAnsi="Arial" w:cs="Arial"/>
          <w:i/>
          <w:iCs/>
          <w:sz w:val="20"/>
          <w:szCs w:val="20"/>
        </w:rPr>
        <w:instrText xml:space="preserve"> ADDIN ZOTERO_ITEM CSL_CITATION {"citationID":"arc7q81jl6","properties":{"formattedCitation":"\\super 28\\nosupersub{}","plainCitation":"28","noteIndex":0},"citationItems":[{"id":614,"uris":["http://zotero.org/users/9551388/items/BSYW8TSY"],"itemData":{"id":614,"type":"article-journal","container-title":"American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M."}],"issued":{"date-parts":[["2008",9,1]]}}}],"schema":"https://github.com/citation-style-language/schema/raw/master/csl-citation.json"} </w:instrText>
      </w:r>
      <w:r w:rsidR="00B10D1F">
        <w:rPr>
          <w:rFonts w:ascii="Arial" w:hAnsi="Arial" w:cs="Arial"/>
          <w:i/>
          <w:iCs/>
          <w:sz w:val="20"/>
          <w:szCs w:val="20"/>
        </w:rPr>
        <w:fldChar w:fldCharType="separate"/>
      </w:r>
      <w:r w:rsidR="00697AC4" w:rsidRPr="00697AC4">
        <w:rPr>
          <w:rFonts w:ascii="Arial" w:hAnsi="Arial" w:cs="Arial"/>
          <w:sz w:val="20"/>
          <w:vertAlign w:val="superscript"/>
          <w:lang w:val="en-GB"/>
        </w:rPr>
        <w:t>28</w:t>
      </w:r>
      <w:r w:rsidR="00B10D1F">
        <w:rPr>
          <w:rFonts w:ascii="Arial" w:hAnsi="Arial" w:cs="Arial"/>
          <w:i/>
          <w:iCs/>
          <w:sz w:val="20"/>
          <w:szCs w:val="20"/>
        </w:rPr>
        <w:fldChar w:fldCharType="end"/>
      </w:r>
      <w:r w:rsidR="0006342B">
        <w:rPr>
          <w:rFonts w:ascii="Arial" w:hAnsi="Arial" w:cs="Arial"/>
          <w:i/>
          <w:iCs/>
          <w:sz w:val="20"/>
          <w:szCs w:val="20"/>
        </w:rPr>
        <w:t xml:space="preserve"> </w:t>
      </w:r>
      <w:r w:rsidR="00E737CB">
        <w:rPr>
          <w:rFonts w:ascii="Arial" w:hAnsi="Arial" w:cs="Arial"/>
          <w:sz w:val="20"/>
          <w:szCs w:val="20"/>
        </w:rPr>
        <w:t xml:space="preserve">and </w:t>
      </w:r>
      <w:r w:rsidR="004C49A2">
        <w:rPr>
          <w:rFonts w:ascii="Arial" w:hAnsi="Arial" w:cs="Arial"/>
          <w:sz w:val="20"/>
          <w:szCs w:val="20"/>
        </w:rPr>
        <w:t>use</w:t>
      </w:r>
      <w:r w:rsidR="000632D3">
        <w:rPr>
          <w:rFonts w:ascii="Arial" w:hAnsi="Arial" w:cs="Arial"/>
          <w:sz w:val="20"/>
          <w:szCs w:val="20"/>
        </w:rPr>
        <w:t>d carriage detection</w:t>
      </w:r>
      <w:r w:rsidR="00A85C31">
        <w:rPr>
          <w:rFonts w:ascii="Arial" w:hAnsi="Arial" w:cs="Arial"/>
          <w:sz w:val="20"/>
          <w:szCs w:val="20"/>
        </w:rPr>
        <w:t xml:space="preserve"> </w:t>
      </w:r>
      <w:r w:rsidR="00A85C31">
        <w:rPr>
          <w:rFonts w:ascii="Arial" w:hAnsi="Arial" w:cs="Arial"/>
          <w:sz w:val="20"/>
          <w:szCs w:val="20"/>
        </w:rPr>
        <w:fldChar w:fldCharType="begin"/>
      </w:r>
      <w:r w:rsidR="00697AC4">
        <w:rPr>
          <w:rFonts w:ascii="Arial" w:hAnsi="Arial" w:cs="Arial"/>
          <w:sz w:val="20"/>
          <w:szCs w:val="20"/>
        </w:rPr>
        <w:instrText xml:space="preserve"> ADDIN ZOTERO_ITEM CSL_CITATION {"citationID":"a2l0j20tksp","properties":{"formattedCitation":"\\super 18,21,26,28\\nosupersub{}","plainCitation":"18,21,26,28","noteIndex":0},"citationItems":[{"id":135,"uris":["http://zotero.org/users/9551388/items/D85TW3FM"],"itemData":{"id":135,"type":"article-journal","abstract":"Methicillin-resistant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697AC4" w:rsidRPr="00697AC4">
        <w:rPr>
          <w:rFonts w:ascii="Arial" w:hAnsi="Arial" w:cs="Arial"/>
          <w:sz w:val="20"/>
          <w:vertAlign w:val="superscript"/>
          <w:lang w:val="en-GB"/>
        </w:rPr>
        <w:t>18,21,26,28</w:t>
      </w:r>
      <w:r w:rsidR="00A85C31">
        <w:rPr>
          <w:rFonts w:ascii="Arial" w:hAnsi="Arial" w:cs="Arial"/>
          <w:sz w:val="20"/>
          <w:szCs w:val="20"/>
        </w:rPr>
        <w:fldChar w:fldCharType="end"/>
      </w:r>
      <w:r w:rsidR="00A85C31">
        <w:rPr>
          <w:rFonts w:ascii="Arial" w:hAnsi="Arial" w:cs="Arial"/>
          <w:sz w:val="20"/>
          <w:szCs w:val="20"/>
        </w:rPr>
        <w:t>,</w:t>
      </w:r>
      <w:r w:rsidR="00E737CB">
        <w:rPr>
          <w:rFonts w:ascii="Arial" w:hAnsi="Arial" w:cs="Arial"/>
          <w:sz w:val="20"/>
          <w:szCs w:val="20"/>
        </w:rPr>
        <w:t xml:space="preserve"> </w:t>
      </w:r>
      <w:r w:rsidR="004E5CB9">
        <w:rPr>
          <w:rFonts w:ascii="Arial" w:hAnsi="Arial" w:cs="Arial"/>
          <w:sz w:val="20"/>
          <w:szCs w:val="20"/>
        </w:rPr>
        <w:t>intensive care unit (ICU)</w:t>
      </w:r>
      <w:r w:rsidR="0006342B">
        <w:rPr>
          <w:rFonts w:ascii="Arial" w:hAnsi="Arial" w:cs="Arial"/>
          <w:sz w:val="20"/>
          <w:szCs w:val="20"/>
        </w:rPr>
        <w:t xml:space="preserve"> clinical culture data</w:t>
      </w:r>
      <w:r w:rsidR="00A85C31">
        <w:rPr>
          <w:rFonts w:ascii="Arial" w:hAnsi="Arial" w:cs="Arial"/>
          <w:sz w:val="20"/>
          <w:szCs w:val="20"/>
        </w:rPr>
        <w:t xml:space="preserve"> </w:t>
      </w:r>
      <w:r w:rsidR="00A85C31">
        <w:rPr>
          <w:rFonts w:ascii="Arial" w:hAnsi="Arial" w:cs="Arial"/>
          <w:sz w:val="20"/>
          <w:szCs w:val="20"/>
        </w:rPr>
        <w:fldChar w:fldCharType="begin"/>
      </w:r>
      <w:r w:rsidR="00697AC4">
        <w:rPr>
          <w:rFonts w:ascii="Arial" w:hAnsi="Arial" w:cs="Arial"/>
          <w:sz w:val="20"/>
          <w:szCs w:val="20"/>
        </w:rPr>
        <w:instrText xml:space="preserve"> ADDIN ZOTERO_ITEM CSL_CITATION {"citationID":"a1amd6pb40r","properties":{"formattedCitation":"\\super 4,26\\nosupersub{}","plainCitation":"4,26","noteIndex":0},"citationItems":[{"id":413,"uris":["http://zotero.org/users/9551388/items/X27EMPDM"],"itemData":{"id":413,"type":"article-journal","container-title":"PLOS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697AC4" w:rsidRPr="00697AC4">
        <w:rPr>
          <w:rFonts w:ascii="Arial" w:hAnsi="Arial" w:cs="Arial"/>
          <w:sz w:val="20"/>
          <w:vertAlign w:val="superscript"/>
          <w:lang w:val="en-GB"/>
        </w:rPr>
        <w:t>4,26</w:t>
      </w:r>
      <w:r w:rsidR="00A85C31">
        <w:rPr>
          <w:rFonts w:ascii="Arial" w:hAnsi="Arial" w:cs="Arial"/>
          <w:sz w:val="20"/>
          <w:szCs w:val="20"/>
        </w:rPr>
        <w:fldChar w:fldCharType="end"/>
      </w:r>
      <w:r w:rsidR="004E5CB9">
        <w:rPr>
          <w:rFonts w:ascii="Arial" w:hAnsi="Arial" w:cs="Arial"/>
          <w:sz w:val="20"/>
          <w:szCs w:val="20"/>
        </w:rPr>
        <w:t xml:space="preserve"> </w:t>
      </w:r>
      <w:r w:rsidR="00A85C31">
        <w:rPr>
          <w:rFonts w:ascii="Arial" w:hAnsi="Arial" w:cs="Arial"/>
          <w:sz w:val="20"/>
          <w:szCs w:val="20"/>
        </w:rPr>
        <w:t xml:space="preserve">or incorporated sequencing data </w:t>
      </w:r>
      <w:r w:rsidR="00A85C31">
        <w:rPr>
          <w:rFonts w:ascii="Arial" w:hAnsi="Arial" w:cs="Arial"/>
          <w:sz w:val="20"/>
          <w:szCs w:val="20"/>
        </w:rPr>
        <w:fldChar w:fldCharType="begin"/>
      </w:r>
      <w:r w:rsidR="00697AC4">
        <w:rPr>
          <w:rFonts w:ascii="Arial" w:hAnsi="Arial" w:cs="Arial"/>
          <w:sz w:val="20"/>
          <w:szCs w:val="20"/>
        </w:rPr>
        <w:instrText xml:space="preserve"> ADDIN ZOTERO_ITEM CSL_CITATION {"citationID":"a242jo5nski","properties":{"formattedCitation":"\\super 27\\nosupersub{}","plainCitation":"27","noteIndex":0},"citationItems":[{"id":612,"uris":["http://zotero.org/users/9551388/items/UJC78S5P"],"itemData":{"id":612,"type":"article-journal","abstract":"Fitting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A85C31">
        <w:rPr>
          <w:rFonts w:ascii="Arial" w:hAnsi="Arial" w:cs="Arial"/>
          <w:sz w:val="20"/>
          <w:szCs w:val="20"/>
        </w:rPr>
        <w:fldChar w:fldCharType="separate"/>
      </w:r>
      <w:r w:rsidR="00697AC4" w:rsidRPr="00697AC4">
        <w:rPr>
          <w:rFonts w:ascii="Arial" w:hAnsi="Arial" w:cs="Arial"/>
          <w:sz w:val="20"/>
          <w:vertAlign w:val="superscript"/>
          <w:lang w:val="en-GB"/>
        </w:rPr>
        <w:t>27</w:t>
      </w:r>
      <w:r w:rsidR="00A85C31">
        <w:rPr>
          <w:rFonts w:ascii="Arial" w:hAnsi="Arial" w:cs="Arial"/>
          <w:sz w:val="20"/>
          <w:szCs w:val="20"/>
        </w:rPr>
        <w:fldChar w:fldCharType="end"/>
      </w:r>
      <w:r w:rsidR="00A85C31">
        <w:rPr>
          <w:rFonts w:ascii="Arial" w:hAnsi="Arial" w:cs="Arial"/>
          <w:sz w:val="20"/>
          <w:szCs w:val="20"/>
        </w:rPr>
        <w:t xml:space="preserve"> </w:t>
      </w:r>
      <w:r w:rsidR="0052161F">
        <w:rPr>
          <w:rFonts w:ascii="Arial" w:hAnsi="Arial" w:cs="Arial"/>
          <w:sz w:val="20"/>
          <w:szCs w:val="20"/>
        </w:rPr>
        <w:t xml:space="preserve">to constrain the </w:t>
      </w:r>
      <w:r w:rsidR="00A57C78">
        <w:rPr>
          <w:rFonts w:ascii="Arial" w:hAnsi="Arial" w:cs="Arial"/>
          <w:sz w:val="20"/>
          <w:szCs w:val="20"/>
        </w:rPr>
        <w:t>modeling</w:t>
      </w:r>
      <w:r w:rsidR="0052161F">
        <w:rPr>
          <w:rFonts w:ascii="Arial" w:hAnsi="Arial" w:cs="Arial"/>
          <w:sz w:val="20"/>
          <w:szCs w:val="20"/>
        </w:rPr>
        <w:t xml:space="preserve"> </w:t>
      </w:r>
      <w:r w:rsidR="00E05CC3">
        <w:rPr>
          <w:rFonts w:ascii="Arial" w:hAnsi="Arial" w:cs="Arial"/>
          <w:sz w:val="20"/>
          <w:szCs w:val="20"/>
        </w:rPr>
        <w:t>exercises</w:t>
      </w:r>
      <w:r>
        <w:rPr>
          <w:rFonts w:ascii="Arial" w:hAnsi="Arial" w:cs="Arial"/>
          <w:sz w:val="20"/>
          <w:szCs w:val="20"/>
        </w:rPr>
        <w:t>.</w:t>
      </w:r>
      <w:r w:rsidR="002876C6">
        <w:rPr>
          <w:rFonts w:ascii="Arial" w:hAnsi="Arial" w:cs="Arial"/>
          <w:sz w:val="20"/>
          <w:szCs w:val="20"/>
        </w:rPr>
        <w:t xml:space="preserve"> </w:t>
      </w:r>
      <w:r w:rsidR="00AD4835">
        <w:rPr>
          <w:rFonts w:ascii="Arial" w:hAnsi="Arial" w:cs="Arial"/>
          <w:sz w:val="20"/>
          <w:szCs w:val="20"/>
        </w:rPr>
        <w:t>Some of t</w:t>
      </w:r>
      <w:r w:rsidR="00720A6E">
        <w:rPr>
          <w:rFonts w:ascii="Arial" w:hAnsi="Arial" w:cs="Arial"/>
          <w:sz w:val="20"/>
          <w:szCs w:val="20"/>
        </w:rPr>
        <w:t>hese</w:t>
      </w:r>
      <w:r w:rsidR="008305D2">
        <w:rPr>
          <w:rFonts w:ascii="Arial" w:hAnsi="Arial" w:cs="Arial"/>
          <w:sz w:val="20"/>
          <w:szCs w:val="20"/>
        </w:rPr>
        <w:t xml:space="preserve"> </w:t>
      </w:r>
      <w:r w:rsidR="00145277">
        <w:rPr>
          <w:rFonts w:ascii="Arial" w:hAnsi="Arial" w:cs="Arial"/>
          <w:sz w:val="20"/>
          <w:szCs w:val="20"/>
        </w:rPr>
        <w:t xml:space="preserve">studies </w:t>
      </w:r>
      <w:r w:rsidR="008305D2">
        <w:rPr>
          <w:rFonts w:ascii="Arial" w:hAnsi="Arial" w:cs="Arial"/>
          <w:sz w:val="20"/>
          <w:szCs w:val="20"/>
        </w:rPr>
        <w:t xml:space="preserve">are </w:t>
      </w:r>
      <w:r w:rsidR="004D0B26">
        <w:rPr>
          <w:rFonts w:ascii="Arial" w:hAnsi="Arial" w:cs="Arial"/>
          <w:sz w:val="20"/>
          <w:szCs w:val="20"/>
        </w:rPr>
        <w:t xml:space="preserve">absent </w:t>
      </w:r>
      <w:r w:rsidR="00A56BC0">
        <w:rPr>
          <w:rFonts w:ascii="Arial" w:hAnsi="Arial" w:cs="Arial"/>
          <w:sz w:val="20"/>
          <w:szCs w:val="20"/>
        </w:rPr>
        <w:t>of interrogation</w:t>
      </w:r>
      <w:r w:rsidR="00880D1C">
        <w:rPr>
          <w:rFonts w:ascii="Arial" w:hAnsi="Arial" w:cs="Arial"/>
          <w:sz w:val="20"/>
          <w:szCs w:val="20"/>
        </w:rPr>
        <w:t xml:space="preserve"> </w:t>
      </w:r>
      <w:r w:rsidR="00A56BC0">
        <w:rPr>
          <w:rFonts w:ascii="Arial" w:hAnsi="Arial" w:cs="Arial"/>
          <w:sz w:val="20"/>
          <w:szCs w:val="20"/>
        </w:rPr>
        <w:t>about the structural identifiability of the system</w:t>
      </w:r>
      <w:r w:rsidR="00DB5F34">
        <w:rPr>
          <w:rFonts w:ascii="Arial" w:hAnsi="Arial" w:cs="Arial"/>
          <w:sz w:val="20"/>
          <w:szCs w:val="20"/>
        </w:rPr>
        <w:t xml:space="preserve"> </w:t>
      </w:r>
      <w:r w:rsidR="00DB5F34">
        <w:rPr>
          <w:rFonts w:ascii="Arial" w:hAnsi="Arial" w:cs="Arial"/>
          <w:sz w:val="20"/>
          <w:szCs w:val="20"/>
        </w:rPr>
        <w:fldChar w:fldCharType="begin"/>
      </w:r>
      <w:r w:rsidR="00697AC4">
        <w:rPr>
          <w:rFonts w:ascii="Arial" w:hAnsi="Arial" w:cs="Arial"/>
          <w:sz w:val="20"/>
          <w:szCs w:val="20"/>
        </w:rPr>
        <w:instrText xml:space="preserve"> ADDIN ZOTERO_ITEM CSL_CITATION {"citationID":"a1lvh4b02bf","properties":{"formattedCitation":"\\super 29\\nosupersub{}","plainCitation":"29","noteIndex":0},"citationItems":[{"id":426,"uris":["http://zotero.org/users/9551388/items/9PYZS3I5"],"itemData":{"id":426,"type":"article-journal","abstract":"We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DB5F34">
        <w:rPr>
          <w:rFonts w:ascii="Arial" w:hAnsi="Arial" w:cs="Arial"/>
          <w:sz w:val="20"/>
          <w:szCs w:val="20"/>
        </w:rPr>
        <w:fldChar w:fldCharType="separate"/>
      </w:r>
      <w:r w:rsidR="00697AC4" w:rsidRPr="00697AC4">
        <w:rPr>
          <w:rFonts w:ascii="Arial" w:hAnsi="Arial" w:cs="Arial"/>
          <w:sz w:val="20"/>
          <w:vertAlign w:val="superscript"/>
          <w:lang w:val="en-GB"/>
        </w:rPr>
        <w:t>29</w:t>
      </w:r>
      <w:r w:rsidR="00DB5F34">
        <w:rPr>
          <w:rFonts w:ascii="Arial" w:hAnsi="Arial" w:cs="Arial"/>
          <w:sz w:val="20"/>
          <w:szCs w:val="20"/>
        </w:rPr>
        <w:fldChar w:fldCharType="end"/>
      </w:r>
      <w:r w:rsidR="00F11823">
        <w:rPr>
          <w:rFonts w:ascii="Arial" w:hAnsi="Arial" w:cs="Arial"/>
          <w:sz w:val="20"/>
          <w:szCs w:val="20"/>
        </w:rPr>
        <w:t xml:space="preserve">, </w:t>
      </w:r>
      <w:r w:rsidR="006649E3">
        <w:rPr>
          <w:rFonts w:ascii="Arial" w:hAnsi="Arial" w:cs="Arial"/>
          <w:sz w:val="20"/>
          <w:szCs w:val="20"/>
        </w:rPr>
        <w:t xml:space="preserve">some </w:t>
      </w:r>
      <w:r w:rsidR="000E36FD">
        <w:rPr>
          <w:rFonts w:ascii="Arial" w:hAnsi="Arial" w:cs="Arial"/>
          <w:sz w:val="20"/>
          <w:szCs w:val="20"/>
        </w:rPr>
        <w:t>probably</w:t>
      </w:r>
      <w:r w:rsidR="00F11823">
        <w:rPr>
          <w:rFonts w:ascii="Arial" w:hAnsi="Arial" w:cs="Arial"/>
          <w:sz w:val="20"/>
          <w:szCs w:val="20"/>
        </w:rPr>
        <w:t xml:space="preserve"> a</w:t>
      </w:r>
      <w:r w:rsidR="000E36FD">
        <w:rPr>
          <w:rFonts w:ascii="Arial" w:hAnsi="Arial" w:cs="Arial"/>
          <w:sz w:val="20"/>
          <w:szCs w:val="20"/>
        </w:rPr>
        <w:t xml:space="preserve"> consequence of designing individual-based model</w:t>
      </w:r>
      <w:r w:rsidR="002876C6">
        <w:rPr>
          <w:rFonts w:ascii="Arial" w:hAnsi="Arial" w:cs="Arial"/>
          <w:sz w:val="20"/>
          <w:szCs w:val="20"/>
        </w:rPr>
        <w:t>s</w:t>
      </w:r>
      <w:r w:rsidR="000E36FD">
        <w:rPr>
          <w:rFonts w:ascii="Arial" w:hAnsi="Arial" w:cs="Arial"/>
          <w:sz w:val="20"/>
          <w:szCs w:val="20"/>
        </w:rPr>
        <w:t xml:space="preserve"> where the state space dimension is high and</w:t>
      </w:r>
      <w:r w:rsidR="007E4B75">
        <w:rPr>
          <w:rFonts w:ascii="Arial" w:hAnsi="Arial" w:cs="Arial"/>
          <w:sz w:val="20"/>
          <w:szCs w:val="20"/>
        </w:rPr>
        <w:t xml:space="preserve"> </w:t>
      </w:r>
      <w:r w:rsidR="00DB5F34">
        <w:rPr>
          <w:rFonts w:ascii="Arial" w:hAnsi="Arial" w:cs="Arial"/>
          <w:sz w:val="20"/>
          <w:szCs w:val="20"/>
        </w:rPr>
        <w:t xml:space="preserve">model-inference </w:t>
      </w:r>
      <w:r w:rsidR="00F67124">
        <w:rPr>
          <w:rFonts w:ascii="Arial" w:hAnsi="Arial" w:cs="Arial"/>
          <w:sz w:val="20"/>
          <w:szCs w:val="20"/>
        </w:rPr>
        <w:t>methods</w:t>
      </w:r>
      <w:r w:rsidR="000E36FD">
        <w:rPr>
          <w:rFonts w:ascii="Arial" w:hAnsi="Arial" w:cs="Arial"/>
          <w:sz w:val="20"/>
          <w:szCs w:val="20"/>
        </w:rPr>
        <w:t xml:space="preserve"> hard to </w:t>
      </w:r>
      <w:r w:rsidR="00F67124">
        <w:rPr>
          <w:rFonts w:ascii="Arial" w:hAnsi="Arial" w:cs="Arial"/>
          <w:sz w:val="20"/>
          <w:szCs w:val="20"/>
        </w:rPr>
        <w:t>interrogate</w:t>
      </w:r>
      <w:r w:rsidR="00EE2564">
        <w:rPr>
          <w:rFonts w:ascii="Arial" w:hAnsi="Arial" w:cs="Arial"/>
          <w:sz w:val="20"/>
          <w:szCs w:val="20"/>
        </w:rPr>
        <w:t xml:space="preserve"> </w:t>
      </w:r>
      <w:r w:rsidR="002B2A86">
        <w:rPr>
          <w:rFonts w:ascii="Arial" w:hAnsi="Arial" w:cs="Arial"/>
          <w:sz w:val="20"/>
          <w:szCs w:val="20"/>
        </w:rPr>
        <w:t>with</w:t>
      </w:r>
      <w:r w:rsidR="00605ED3">
        <w:rPr>
          <w:rFonts w:ascii="Arial" w:hAnsi="Arial" w:cs="Arial"/>
          <w:sz w:val="20"/>
          <w:szCs w:val="20"/>
        </w:rPr>
        <w:t>in</w:t>
      </w:r>
      <w:r w:rsidR="00EE2564">
        <w:rPr>
          <w:rFonts w:ascii="Arial" w:hAnsi="Arial" w:cs="Arial"/>
          <w:sz w:val="20"/>
          <w:szCs w:val="20"/>
        </w:rPr>
        <w:t xml:space="preserve"> a mathematical framework</w:t>
      </w:r>
      <w:r w:rsidR="00F11823">
        <w:rPr>
          <w:rFonts w:ascii="Arial" w:hAnsi="Arial" w:cs="Arial"/>
          <w:sz w:val="20"/>
          <w:szCs w:val="20"/>
        </w:rPr>
        <w:t>.</w:t>
      </w:r>
      <w:r w:rsidR="00A56BC0">
        <w:rPr>
          <w:rFonts w:ascii="Arial" w:hAnsi="Arial" w:cs="Arial"/>
          <w:sz w:val="20"/>
          <w:szCs w:val="20"/>
        </w:rPr>
        <w:t xml:space="preserve"> </w:t>
      </w:r>
      <w:r w:rsidR="00CF70A7">
        <w:rPr>
          <w:rFonts w:ascii="Arial" w:hAnsi="Arial" w:cs="Arial"/>
          <w:sz w:val="20"/>
          <w:szCs w:val="20"/>
        </w:rPr>
        <w:t>F</w:t>
      </w:r>
      <w:r w:rsidR="00A56BC0">
        <w:rPr>
          <w:rFonts w:ascii="Arial" w:hAnsi="Arial" w:cs="Arial"/>
          <w:sz w:val="20"/>
          <w:szCs w:val="20"/>
        </w:rPr>
        <w:t>or example</w:t>
      </w:r>
      <w:r w:rsidR="00557045">
        <w:rPr>
          <w:rFonts w:ascii="Arial" w:hAnsi="Arial" w:cs="Arial"/>
          <w:sz w:val="20"/>
          <w:szCs w:val="20"/>
        </w:rPr>
        <w:t>,</w:t>
      </w:r>
      <w:r w:rsidR="00A56BC0">
        <w:rPr>
          <w:rFonts w:ascii="Arial" w:hAnsi="Arial" w:cs="Arial"/>
          <w:sz w:val="20"/>
          <w:szCs w:val="20"/>
        </w:rPr>
        <w:t xml:space="preserve"> </w:t>
      </w:r>
      <w:r w:rsidR="0088396D">
        <w:rPr>
          <w:rFonts w:ascii="Arial" w:hAnsi="Arial" w:cs="Arial"/>
          <w:sz w:val="20"/>
          <w:szCs w:val="20"/>
        </w:rPr>
        <w:fldChar w:fldCharType="begin"/>
      </w:r>
      <w:r w:rsidR="00590AF7">
        <w:rPr>
          <w:rFonts w:ascii="Arial" w:hAnsi="Arial" w:cs="Arial"/>
          <w:sz w:val="20"/>
          <w:szCs w:val="20"/>
        </w:rPr>
        <w:instrText xml:space="preserve"> ADDIN ZOTERO_ITEM CSL_CITATION {"citationID":"alaq99bnap","properties":{"formattedCitation":"\\super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88396D">
        <w:rPr>
          <w:rFonts w:ascii="Arial" w:hAnsi="Arial" w:cs="Arial"/>
          <w:sz w:val="20"/>
          <w:szCs w:val="20"/>
        </w:rPr>
        <w:fldChar w:fldCharType="separate"/>
      </w:r>
      <w:r w:rsidR="00590AF7" w:rsidRPr="00590AF7">
        <w:rPr>
          <w:rFonts w:ascii="Arial" w:hAnsi="Arial" w:cs="Arial"/>
          <w:sz w:val="20"/>
          <w:vertAlign w:val="superscript"/>
          <w:lang w:val="en-GB"/>
        </w:rPr>
        <w:t>4</w:t>
      </w:r>
      <w:r w:rsidR="0088396D">
        <w:rPr>
          <w:rFonts w:ascii="Arial" w:hAnsi="Arial" w:cs="Arial"/>
          <w:sz w:val="20"/>
          <w:szCs w:val="20"/>
        </w:rPr>
        <w:fldChar w:fldCharType="end"/>
      </w:r>
      <w:r w:rsidR="00A56BC0">
        <w:rPr>
          <w:rFonts w:ascii="Arial" w:hAnsi="Arial" w:cs="Arial"/>
          <w:sz w:val="20"/>
          <w:szCs w:val="20"/>
        </w:rPr>
        <w:t xml:space="preserve"> </w:t>
      </w:r>
      <w:r w:rsidR="000F6CCC">
        <w:rPr>
          <w:rFonts w:ascii="Arial" w:hAnsi="Arial" w:cs="Arial"/>
          <w:sz w:val="20"/>
          <w:szCs w:val="20"/>
        </w:rPr>
        <w:t>infers</w:t>
      </w:r>
      <w:r w:rsidR="00A56BC0">
        <w:rPr>
          <w:rFonts w:ascii="Arial" w:hAnsi="Arial" w:cs="Arial"/>
          <w:sz w:val="20"/>
          <w:szCs w:val="20"/>
        </w:rPr>
        <w:t xml:space="preserve"> whether nosocomial transmissions </w:t>
      </w:r>
      <w:r w:rsidR="008C1E3F">
        <w:rPr>
          <w:rFonts w:ascii="Arial" w:hAnsi="Arial" w:cs="Arial"/>
          <w:sz w:val="20"/>
          <w:szCs w:val="20"/>
        </w:rPr>
        <w:t>were</w:t>
      </w:r>
      <w:r w:rsidR="00A56BC0">
        <w:rPr>
          <w:rFonts w:ascii="Arial" w:hAnsi="Arial" w:cs="Arial"/>
          <w:sz w:val="20"/>
          <w:szCs w:val="20"/>
        </w:rPr>
        <w:t xml:space="preserve"> via host-to-host or an environmental reservoir for </w:t>
      </w:r>
      <w:r w:rsidR="00A56BC0">
        <w:rPr>
          <w:rFonts w:ascii="Arial" w:hAnsi="Arial" w:cs="Arial"/>
          <w:i/>
          <w:iCs/>
          <w:sz w:val="20"/>
          <w:szCs w:val="20"/>
        </w:rPr>
        <w:t>P. aeuruginos</w:t>
      </w:r>
      <w:r w:rsidR="009574B8">
        <w:rPr>
          <w:rFonts w:ascii="Arial" w:hAnsi="Arial" w:cs="Arial"/>
          <w:i/>
          <w:iCs/>
          <w:sz w:val="20"/>
          <w:szCs w:val="20"/>
        </w:rPr>
        <w:t>a</w:t>
      </w:r>
      <w:r w:rsidR="00994429">
        <w:rPr>
          <w:rFonts w:ascii="Arial" w:hAnsi="Arial" w:cs="Arial"/>
          <w:i/>
          <w:iCs/>
          <w:sz w:val="20"/>
          <w:szCs w:val="20"/>
        </w:rPr>
        <w:t xml:space="preserve"> </w:t>
      </w:r>
      <w:r w:rsidR="00994429">
        <w:rPr>
          <w:rFonts w:ascii="Arial" w:hAnsi="Arial" w:cs="Arial"/>
          <w:sz w:val="20"/>
          <w:szCs w:val="20"/>
        </w:rPr>
        <w:t>using ICU admissions</w:t>
      </w:r>
      <w:r w:rsidR="00A57C78">
        <w:rPr>
          <w:rFonts w:ascii="Arial" w:hAnsi="Arial" w:cs="Arial"/>
          <w:sz w:val="20"/>
          <w:szCs w:val="20"/>
        </w:rPr>
        <w:t>.</w:t>
      </w:r>
      <w:r w:rsidR="00C96F86">
        <w:rPr>
          <w:rFonts w:ascii="Arial" w:hAnsi="Arial" w:cs="Arial"/>
          <w:i/>
          <w:iCs/>
          <w:sz w:val="20"/>
          <w:szCs w:val="20"/>
        </w:rPr>
        <w:t xml:space="preserve"> </w:t>
      </w:r>
      <w:r w:rsidR="00C96F86">
        <w:rPr>
          <w:rFonts w:ascii="Arial" w:hAnsi="Arial" w:cs="Arial"/>
          <w:sz w:val="20"/>
          <w:szCs w:val="20"/>
        </w:rPr>
        <w:t xml:space="preserve">We hypothesized that as patient-to-patient and environmental transmission apport linearly to </w:t>
      </w:r>
      <w:r w:rsidR="00FF4725">
        <w:rPr>
          <w:rFonts w:ascii="Arial" w:hAnsi="Arial" w:cs="Arial"/>
          <w:sz w:val="20"/>
          <w:szCs w:val="20"/>
        </w:rPr>
        <w:t>nosocomial transmission</w:t>
      </w:r>
      <w:r w:rsidR="00BA2402">
        <w:rPr>
          <w:rFonts w:ascii="Arial" w:hAnsi="Arial" w:cs="Arial"/>
          <w:sz w:val="20"/>
          <w:szCs w:val="20"/>
        </w:rPr>
        <w:t xml:space="preserve"> and act in the same time-scales</w:t>
      </w:r>
      <w:r w:rsidR="00C96F86">
        <w:rPr>
          <w:rFonts w:ascii="Arial" w:hAnsi="Arial" w:cs="Arial"/>
          <w:sz w:val="20"/>
          <w:szCs w:val="20"/>
        </w:rPr>
        <w:t xml:space="preserve"> there might be multiple solutions</w:t>
      </w:r>
      <w:r w:rsidR="004D0B26">
        <w:rPr>
          <w:rFonts w:ascii="Arial" w:hAnsi="Arial" w:cs="Arial"/>
          <w:sz w:val="20"/>
          <w:szCs w:val="20"/>
        </w:rPr>
        <w:t xml:space="preserve"> </w:t>
      </w:r>
      <w:r w:rsidR="00A96989">
        <w:rPr>
          <w:rFonts w:ascii="Arial" w:hAnsi="Arial" w:cs="Arial"/>
          <w:sz w:val="20"/>
          <w:szCs w:val="20"/>
        </w:rPr>
        <w:t xml:space="preserve">that cannot be stressed out without observing additional variables of the </w:t>
      </w:r>
      <w:r w:rsidR="009B54CA">
        <w:rPr>
          <w:rFonts w:ascii="Arial" w:hAnsi="Arial" w:cs="Arial"/>
          <w:sz w:val="20"/>
          <w:szCs w:val="20"/>
        </w:rPr>
        <w:t>process</w:t>
      </w:r>
      <w:r w:rsidR="0006342B">
        <w:rPr>
          <w:rFonts w:ascii="Arial" w:hAnsi="Arial" w:cs="Arial"/>
          <w:sz w:val="20"/>
          <w:szCs w:val="20"/>
        </w:rPr>
        <w:t xml:space="preserve">. </w:t>
      </w:r>
      <w:r w:rsidR="00E80553">
        <w:rPr>
          <w:rFonts w:ascii="Arial" w:hAnsi="Arial" w:cs="Arial"/>
          <w:sz w:val="20"/>
          <w:szCs w:val="20"/>
        </w:rPr>
        <w:t>However</w:t>
      </w:r>
      <w:r w:rsidR="0006342B">
        <w:rPr>
          <w:rFonts w:ascii="Arial" w:hAnsi="Arial" w:cs="Arial"/>
          <w:sz w:val="20"/>
          <w:szCs w:val="20"/>
        </w:rPr>
        <w:t xml:space="preserve">, the study </w:t>
      </w:r>
      <w:r w:rsidR="00586A73">
        <w:rPr>
          <w:rFonts w:ascii="Arial" w:hAnsi="Arial" w:cs="Arial"/>
          <w:sz w:val="20"/>
          <w:szCs w:val="20"/>
        </w:rPr>
        <w:t>used</w:t>
      </w:r>
      <w:r w:rsidR="0035786C">
        <w:rPr>
          <w:rFonts w:ascii="Arial" w:hAnsi="Arial" w:cs="Arial"/>
          <w:sz w:val="20"/>
          <w:szCs w:val="20"/>
        </w:rPr>
        <w:t xml:space="preserve"> nosocomial infection</w:t>
      </w:r>
      <w:r w:rsidR="00586A73">
        <w:rPr>
          <w:rFonts w:ascii="Arial" w:hAnsi="Arial" w:cs="Arial"/>
          <w:sz w:val="20"/>
          <w:szCs w:val="20"/>
        </w:rPr>
        <w:t xml:space="preserve"> data from two ICUs</w:t>
      </w:r>
      <w:r w:rsidR="00E80553">
        <w:rPr>
          <w:rFonts w:ascii="Arial" w:hAnsi="Arial" w:cs="Arial"/>
          <w:sz w:val="20"/>
          <w:szCs w:val="20"/>
        </w:rPr>
        <w:t xml:space="preserve"> of 9 and 6 years</w:t>
      </w:r>
      <w:r w:rsidR="00586A73">
        <w:rPr>
          <w:rFonts w:ascii="Arial" w:hAnsi="Arial" w:cs="Arial"/>
          <w:sz w:val="20"/>
          <w:szCs w:val="20"/>
        </w:rPr>
        <w:t xml:space="preserve"> respectively</w:t>
      </w:r>
      <w:r w:rsidR="00E80553">
        <w:rPr>
          <w:rFonts w:ascii="Arial" w:hAnsi="Arial" w:cs="Arial"/>
          <w:sz w:val="20"/>
          <w:szCs w:val="20"/>
        </w:rPr>
        <w:t xml:space="preserve"> and possibly the length of the time series and interventions</w:t>
      </w:r>
      <w:r w:rsidR="00657C18">
        <w:rPr>
          <w:rFonts w:ascii="Arial" w:hAnsi="Arial" w:cs="Arial"/>
          <w:sz w:val="20"/>
          <w:szCs w:val="20"/>
        </w:rPr>
        <w:t xml:space="preserve"> </w:t>
      </w:r>
      <w:r w:rsidR="00E80553">
        <w:rPr>
          <w:rFonts w:ascii="Arial" w:hAnsi="Arial" w:cs="Arial"/>
          <w:sz w:val="20"/>
          <w:szCs w:val="20"/>
        </w:rPr>
        <w:t xml:space="preserve">in the hospital </w:t>
      </w:r>
      <w:r w:rsidR="00EA60A8">
        <w:rPr>
          <w:rFonts w:ascii="Arial" w:hAnsi="Arial" w:cs="Arial"/>
          <w:sz w:val="20"/>
          <w:szCs w:val="20"/>
        </w:rPr>
        <w:t>enriched</w:t>
      </w:r>
      <w:r w:rsidR="00657C18">
        <w:rPr>
          <w:rFonts w:ascii="Arial" w:hAnsi="Arial" w:cs="Arial"/>
          <w:sz w:val="20"/>
          <w:szCs w:val="20"/>
        </w:rPr>
        <w:t xml:space="preserve"> dynamics and </w:t>
      </w:r>
      <w:r w:rsidR="008C44CE">
        <w:rPr>
          <w:rFonts w:ascii="Arial" w:hAnsi="Arial" w:cs="Arial"/>
          <w:sz w:val="20"/>
          <w:szCs w:val="20"/>
        </w:rPr>
        <w:t>improved</w:t>
      </w:r>
      <w:r w:rsidR="00E80553">
        <w:rPr>
          <w:rFonts w:ascii="Arial" w:hAnsi="Arial" w:cs="Arial"/>
          <w:sz w:val="20"/>
          <w:szCs w:val="20"/>
        </w:rPr>
        <w:t xml:space="preserve"> the parameter estimation</w:t>
      </w:r>
      <w:r w:rsidR="00A96989">
        <w:rPr>
          <w:rFonts w:ascii="Arial" w:hAnsi="Arial" w:cs="Arial"/>
          <w:sz w:val="20"/>
          <w:szCs w:val="20"/>
        </w:rPr>
        <w:t>.</w:t>
      </w:r>
      <w:r w:rsidR="00C96F86">
        <w:rPr>
          <w:rFonts w:ascii="Arial" w:hAnsi="Arial" w:cs="Arial"/>
          <w:sz w:val="20"/>
          <w:szCs w:val="20"/>
        </w:rPr>
        <w:t xml:space="preserve"> </w:t>
      </w:r>
      <w:r w:rsidR="00967D01">
        <w:rPr>
          <w:rFonts w:ascii="Arial" w:hAnsi="Arial" w:cs="Arial"/>
          <w:sz w:val="20"/>
          <w:szCs w:val="20"/>
        </w:rPr>
        <w:t xml:space="preserve">We </w:t>
      </w:r>
      <w:r w:rsidR="005F114F">
        <w:rPr>
          <w:rFonts w:ascii="Arial" w:hAnsi="Arial" w:cs="Arial"/>
          <w:sz w:val="20"/>
          <w:szCs w:val="20"/>
        </w:rPr>
        <w:t>suggest</w:t>
      </w:r>
      <w:r w:rsidR="00967D01">
        <w:rPr>
          <w:rFonts w:ascii="Arial" w:hAnsi="Arial" w:cs="Arial"/>
          <w:sz w:val="20"/>
          <w:szCs w:val="20"/>
        </w:rPr>
        <w:t xml:space="preserve"> that </w:t>
      </w:r>
      <w:r w:rsidR="00E01203">
        <w:rPr>
          <w:rFonts w:ascii="Arial" w:hAnsi="Arial" w:cs="Arial"/>
          <w:sz w:val="20"/>
          <w:szCs w:val="20"/>
        </w:rPr>
        <w:t xml:space="preserve">investigations relying on </w:t>
      </w:r>
      <w:r w:rsidR="00973F74">
        <w:rPr>
          <w:rFonts w:ascii="Arial" w:hAnsi="Arial" w:cs="Arial"/>
          <w:sz w:val="20"/>
          <w:szCs w:val="20"/>
        </w:rPr>
        <w:t xml:space="preserve">simulation-based </w:t>
      </w:r>
      <w:r w:rsidR="009B54CA">
        <w:rPr>
          <w:rFonts w:ascii="Arial" w:hAnsi="Arial" w:cs="Arial"/>
          <w:sz w:val="20"/>
          <w:szCs w:val="20"/>
        </w:rPr>
        <w:t>inference</w:t>
      </w:r>
      <w:r w:rsidR="00973F74">
        <w:rPr>
          <w:rFonts w:ascii="Arial" w:hAnsi="Arial" w:cs="Arial"/>
          <w:sz w:val="20"/>
          <w:szCs w:val="20"/>
        </w:rPr>
        <w:t xml:space="preserve"> tools need to start including in their cookbook systematical </w:t>
      </w:r>
      <w:r w:rsidR="009B54CA">
        <w:rPr>
          <w:rFonts w:ascii="Arial" w:hAnsi="Arial" w:cs="Arial"/>
          <w:sz w:val="20"/>
          <w:szCs w:val="20"/>
        </w:rPr>
        <w:t>assessment</w:t>
      </w:r>
      <w:r w:rsidR="00D57284">
        <w:rPr>
          <w:rFonts w:ascii="Arial" w:hAnsi="Arial" w:cs="Arial"/>
          <w:sz w:val="20"/>
          <w:szCs w:val="20"/>
        </w:rPr>
        <w:t xml:space="preserve"> </w:t>
      </w:r>
      <w:r w:rsidR="00973F74">
        <w:rPr>
          <w:rFonts w:ascii="Arial" w:hAnsi="Arial" w:cs="Arial"/>
          <w:sz w:val="20"/>
          <w:szCs w:val="20"/>
        </w:rPr>
        <w:t>of the identifiability of the system</w:t>
      </w:r>
      <w:r w:rsidR="00621786">
        <w:rPr>
          <w:rFonts w:ascii="Arial" w:hAnsi="Arial" w:cs="Arial"/>
          <w:sz w:val="20"/>
          <w:szCs w:val="20"/>
        </w:rPr>
        <w:t>, especially when relying on stochastic transmission</w:t>
      </w:r>
      <w:r w:rsidR="00D415F4">
        <w:rPr>
          <w:rFonts w:ascii="Arial" w:hAnsi="Arial" w:cs="Arial"/>
          <w:sz w:val="20"/>
          <w:szCs w:val="20"/>
        </w:rPr>
        <w:t xml:space="preserve"> </w:t>
      </w:r>
      <w:commentRangeStart w:id="8"/>
      <w:r w:rsidR="00621786">
        <w:rPr>
          <w:rFonts w:ascii="Arial" w:hAnsi="Arial" w:cs="Arial"/>
          <w:sz w:val="20"/>
          <w:szCs w:val="20"/>
        </w:rPr>
        <w:t>models</w:t>
      </w:r>
      <w:commentRangeEnd w:id="8"/>
      <w:r w:rsidR="00707155">
        <w:rPr>
          <w:rStyle w:val="CommentReference"/>
          <w:rFonts w:ascii="Times New Roman" w:eastAsia="Times New Roman" w:hAnsi="Times New Roman" w:cs="Times New Roman"/>
        </w:rPr>
        <w:commentReference w:id="8"/>
      </w:r>
      <w:r w:rsidR="00707155">
        <w:rPr>
          <w:rFonts w:ascii="Arial" w:hAnsi="Arial" w:cs="Arial"/>
          <w:sz w:val="20"/>
          <w:szCs w:val="20"/>
        </w:rPr>
        <w:t>.</w:t>
      </w:r>
    </w:p>
    <w:p w14:paraId="7A1A6036" w14:textId="37124BBC" w:rsidR="005E4095" w:rsidRDefault="005E4095" w:rsidP="001D37D4">
      <w:pPr>
        <w:spacing w:line="360" w:lineRule="auto"/>
        <w:jc w:val="both"/>
        <w:rPr>
          <w:rFonts w:ascii="Arial" w:hAnsi="Arial" w:cs="Arial"/>
          <w:sz w:val="20"/>
          <w:szCs w:val="20"/>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w:t>
      </w:r>
      <w:r w:rsidR="00170C7C">
        <w:rPr>
          <w:rFonts w:ascii="Arial" w:hAnsi="Arial" w:cs="Arial"/>
          <w:sz w:val="20"/>
          <w:szCs w:val="20"/>
        </w:rPr>
        <w:t>absent</w:t>
      </w:r>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r w:rsidR="00170C7C">
        <w:rPr>
          <w:rFonts w:ascii="Arial" w:hAnsi="Arial" w:cs="Arial"/>
          <w:sz w:val="20"/>
          <w:szCs w:val="20"/>
        </w:rPr>
        <w:t xml:space="preserve"> </w:t>
      </w: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A35F60">
        <w:rPr>
          <w:rFonts w:ascii="Arial" w:hAnsi="Arial" w:cs="Arial"/>
          <w:sz w:val="20"/>
          <w:szCs w:val="20"/>
        </w:rPr>
        <w:t xml:space="preserve">daily and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w:t>
      </w:r>
      <w:r w:rsidR="003E18D5">
        <w:rPr>
          <w:rFonts w:ascii="Arial" w:hAnsi="Arial" w:cs="Arial"/>
          <w:sz w:val="20"/>
          <w:szCs w:val="20"/>
        </w:rPr>
        <w:lastRenderedPageBreak/>
        <w:t xml:space="preserve">by variations </w:t>
      </w:r>
      <w:r w:rsidR="00170C7C">
        <w:rPr>
          <w:rFonts w:ascii="Arial" w:hAnsi="Arial" w:cs="Arial"/>
          <w:sz w:val="20"/>
          <w:szCs w:val="20"/>
        </w:rPr>
        <w:t xml:space="preserve">at </w:t>
      </w:r>
      <w:r w:rsidR="003E18D5">
        <w:rPr>
          <w:rFonts w:ascii="Arial" w:hAnsi="Arial" w:cs="Arial"/>
          <w:sz w:val="20"/>
          <w:szCs w:val="20"/>
        </w:rPr>
        <w:t>the building</w:t>
      </w:r>
      <w:r w:rsidR="00170C7C">
        <w:rPr>
          <w:rFonts w:ascii="Arial" w:hAnsi="Arial" w:cs="Arial"/>
          <w:sz w:val="20"/>
          <w:szCs w:val="20"/>
        </w:rPr>
        <w:t xml:space="preserve"> scale</w:t>
      </w:r>
      <w:r w:rsidR="00E05CC3">
        <w:rPr>
          <w:rFonts w:ascii="Arial" w:hAnsi="Arial" w:cs="Arial"/>
          <w:sz w:val="20"/>
          <w:szCs w:val="20"/>
        </w:rPr>
        <w:t xml:space="preserve"> in the hospital network</w:t>
      </w:r>
      <w:r w:rsidR="003E18D5">
        <w:rPr>
          <w:rFonts w:ascii="Arial" w:hAnsi="Arial" w:cs="Arial"/>
          <w:sz w:val="20"/>
          <w:szCs w:val="20"/>
        </w:rPr>
        <w:t xml:space="preserve"> with some ranging from 0-50%</w:t>
      </w:r>
      <w:r w:rsidR="00E80553">
        <w:rPr>
          <w:rFonts w:ascii="Arial" w:hAnsi="Arial" w:cs="Arial"/>
          <w:sz w:val="20"/>
          <w:szCs w:val="20"/>
        </w:rPr>
        <w:t xml:space="preserve"> (See building traffic for Allen, Harkness Pavillion and Milstein hospitals in</w:t>
      </w:r>
      <w:r w:rsidR="00C05AE7">
        <w:rPr>
          <w:rFonts w:ascii="Arial" w:hAnsi="Arial" w:cs="Arial"/>
          <w:sz w:val="20"/>
          <w:szCs w:val="20"/>
        </w:rPr>
        <w:t xml:space="preserve"> Supplementary Information</w:t>
      </w:r>
      <w:r w:rsidR="00E80553">
        <w:rPr>
          <w:rFonts w:ascii="Arial" w:hAnsi="Arial" w:cs="Arial"/>
          <w:sz w:val="20"/>
          <w:szCs w:val="20"/>
        </w:rPr>
        <w:t xml:space="preserve"> Figure S1)</w:t>
      </w:r>
      <w:r w:rsidR="00EF45A3">
        <w:rPr>
          <w:rFonts w:ascii="Arial" w:hAnsi="Arial" w:cs="Arial"/>
          <w:sz w:val="20"/>
          <w:szCs w:val="20"/>
        </w:rPr>
        <w:t xml:space="preserve">, and others with </w:t>
      </w:r>
      <w:r w:rsidR="00AC6B4E">
        <w:rPr>
          <w:rFonts w:ascii="Arial" w:hAnsi="Arial" w:cs="Arial"/>
          <w:sz w:val="20"/>
          <w:szCs w:val="20"/>
        </w:rPr>
        <w:t>faster</w:t>
      </w:r>
      <w:r w:rsidR="00EF45A3">
        <w:rPr>
          <w:rFonts w:ascii="Arial" w:hAnsi="Arial" w:cs="Arial"/>
          <w:sz w:val="20"/>
          <w:szCs w:val="20"/>
        </w:rPr>
        <w:t xml:space="preserve"> patient replacement </w:t>
      </w:r>
      <w:r w:rsidR="00AC6B4E">
        <w:rPr>
          <w:rFonts w:ascii="Arial" w:hAnsi="Arial" w:cs="Arial"/>
          <w:sz w:val="20"/>
          <w:szCs w:val="20"/>
        </w:rPr>
        <w:t xml:space="preserve">between 80% to 150%, </w:t>
      </w:r>
      <w:r w:rsidR="004608A9">
        <w:rPr>
          <w:rFonts w:ascii="Arial" w:hAnsi="Arial" w:cs="Arial"/>
          <w:sz w:val="20"/>
          <w:szCs w:val="20"/>
        </w:rPr>
        <w:t>consequence of</w:t>
      </w:r>
      <w:r w:rsidR="00AC6B4E">
        <w:rPr>
          <w:rFonts w:ascii="Arial" w:hAnsi="Arial" w:cs="Arial"/>
          <w:sz w:val="20"/>
          <w:szCs w:val="20"/>
        </w:rPr>
        <w:t xml:space="preserve"> </w:t>
      </w:r>
      <w:r w:rsidR="00E80553">
        <w:rPr>
          <w:rFonts w:ascii="Arial" w:hAnsi="Arial" w:cs="Arial"/>
          <w:sz w:val="20"/>
          <w:szCs w:val="20"/>
        </w:rPr>
        <w:t xml:space="preserve">admitting </w:t>
      </w:r>
      <w:r w:rsidR="004608A9">
        <w:rPr>
          <w:rFonts w:ascii="Arial" w:hAnsi="Arial" w:cs="Arial"/>
          <w:sz w:val="20"/>
          <w:szCs w:val="20"/>
        </w:rPr>
        <w:t xml:space="preserve">mostly </w:t>
      </w:r>
      <w:r w:rsidR="00AC6B4E">
        <w:rPr>
          <w:rFonts w:ascii="Arial" w:hAnsi="Arial" w:cs="Arial"/>
          <w:sz w:val="20"/>
          <w:szCs w:val="20"/>
        </w:rPr>
        <w:t>outpatient</w:t>
      </w:r>
      <w:r w:rsidR="00E80553">
        <w:rPr>
          <w:rFonts w:ascii="Arial" w:hAnsi="Arial" w:cs="Arial"/>
          <w:sz w:val="20"/>
          <w:szCs w:val="20"/>
        </w:rPr>
        <w:t xml:space="preserve">s (See Presbyterian hospital and Rest in </w:t>
      </w:r>
      <w:r w:rsidR="00C05AE7">
        <w:rPr>
          <w:rFonts w:ascii="Arial" w:hAnsi="Arial" w:cs="Arial"/>
          <w:sz w:val="20"/>
          <w:szCs w:val="20"/>
        </w:rPr>
        <w:t xml:space="preserve">SI </w:t>
      </w:r>
      <w:r w:rsidR="00E80553">
        <w:rPr>
          <w:rFonts w:ascii="Arial" w:hAnsi="Arial" w:cs="Arial"/>
          <w:sz w:val="20"/>
          <w:szCs w:val="20"/>
        </w:rPr>
        <w:t>Figure S1)</w:t>
      </w:r>
      <w:r w:rsidR="008C1E3F">
        <w:rPr>
          <w:rFonts w:ascii="Arial" w:hAnsi="Arial" w:cs="Arial"/>
          <w:sz w:val="20"/>
          <w:szCs w:val="20"/>
        </w:rPr>
        <w:t xml:space="preserve">. This heterogeneity at </w:t>
      </w:r>
      <w:r w:rsidR="00A35F60">
        <w:rPr>
          <w:rFonts w:ascii="Arial" w:hAnsi="Arial" w:cs="Arial"/>
          <w:sz w:val="20"/>
          <w:szCs w:val="20"/>
        </w:rPr>
        <w:t xml:space="preserve">the </w:t>
      </w:r>
      <w:r w:rsidR="008C1E3F">
        <w:rPr>
          <w:rFonts w:ascii="Arial" w:hAnsi="Arial" w:cs="Arial"/>
          <w:sz w:val="20"/>
          <w:szCs w:val="20"/>
        </w:rPr>
        <w:t xml:space="preserve">building scale </w:t>
      </w:r>
      <w:r w:rsidR="002D41AA">
        <w:rPr>
          <w:rFonts w:ascii="Arial" w:hAnsi="Arial" w:cs="Arial"/>
          <w:sz w:val="20"/>
          <w:szCs w:val="20"/>
        </w:rPr>
        <w:t xml:space="preserve">is </w:t>
      </w:r>
      <w:r w:rsidR="008C1E3F">
        <w:rPr>
          <w:rFonts w:ascii="Arial" w:hAnsi="Arial" w:cs="Arial"/>
          <w:sz w:val="20"/>
          <w:szCs w:val="20"/>
        </w:rPr>
        <w:t>in turn</w:t>
      </w:r>
      <w:r w:rsidR="00A35F60">
        <w:rPr>
          <w:rFonts w:ascii="Arial" w:hAnsi="Arial" w:cs="Arial"/>
          <w:sz w:val="20"/>
          <w:szCs w:val="20"/>
        </w:rPr>
        <w:t xml:space="preserve"> </w:t>
      </w:r>
      <w:r w:rsidR="008C1E3F">
        <w:rPr>
          <w:rFonts w:ascii="Arial" w:hAnsi="Arial" w:cs="Arial"/>
          <w:sz w:val="20"/>
          <w:szCs w:val="20"/>
        </w:rPr>
        <w:t>explained by variation across the ward</w:t>
      </w:r>
      <w:r w:rsidR="00090F5C">
        <w:rPr>
          <w:rFonts w:ascii="Arial" w:hAnsi="Arial" w:cs="Arial"/>
          <w:sz w:val="20"/>
          <w:szCs w:val="20"/>
        </w:rPr>
        <w:t xml:space="preserve"> </w:t>
      </w:r>
      <w:r w:rsidR="006D5BEB">
        <w:rPr>
          <w:rFonts w:ascii="Arial" w:hAnsi="Arial" w:cs="Arial"/>
          <w:sz w:val="20"/>
          <w:szCs w:val="20"/>
        </w:rPr>
        <w:t>traffic</w:t>
      </w:r>
      <w:r w:rsidR="008C1E3F">
        <w:rPr>
          <w:rFonts w:ascii="Arial" w:hAnsi="Arial" w:cs="Arial"/>
          <w:sz w:val="20"/>
          <w:szCs w:val="20"/>
        </w:rPr>
        <w:t xml:space="preserve"> composing each building (See</w:t>
      </w:r>
      <w:r w:rsidR="00C66BFB">
        <w:rPr>
          <w:rFonts w:ascii="Arial" w:hAnsi="Arial" w:cs="Arial"/>
          <w:sz w:val="20"/>
          <w:szCs w:val="20"/>
        </w:rPr>
        <w:t xml:space="preserve"> SI</w:t>
      </w:r>
      <w:r w:rsidR="008C1E3F">
        <w:rPr>
          <w:rFonts w:ascii="Arial" w:hAnsi="Arial" w:cs="Arial"/>
          <w:sz w:val="20"/>
          <w:szCs w:val="20"/>
        </w:rPr>
        <w:t xml:space="preserve"> Figure S</w:t>
      </w:r>
      <w:r w:rsidR="008B3291">
        <w:rPr>
          <w:rFonts w:ascii="Arial" w:hAnsi="Arial" w:cs="Arial"/>
          <w:sz w:val="20"/>
          <w:szCs w:val="20"/>
        </w:rPr>
        <w:t>2</w:t>
      </w:r>
      <w:r w:rsidR="008C1E3F">
        <w:rPr>
          <w:rFonts w:ascii="Arial" w:hAnsi="Arial" w:cs="Arial"/>
          <w:sz w:val="20"/>
          <w:szCs w:val="20"/>
        </w:rPr>
        <w:t xml:space="preserve"> </w:t>
      </w:r>
      <w:r w:rsidR="00133BEF">
        <w:rPr>
          <w:rFonts w:ascii="Arial" w:hAnsi="Arial" w:cs="Arial"/>
          <w:sz w:val="20"/>
          <w:szCs w:val="20"/>
        </w:rPr>
        <w:t>ward traffic</w:t>
      </w:r>
      <w:r w:rsidR="008C1E3F">
        <w:rPr>
          <w:rFonts w:ascii="Arial" w:hAnsi="Arial" w:cs="Arial"/>
          <w:sz w:val="20"/>
          <w:szCs w:val="20"/>
        </w:rPr>
        <w:t>)</w:t>
      </w:r>
      <w:r w:rsidR="00A35F60">
        <w:rPr>
          <w:rFonts w:ascii="Arial" w:hAnsi="Arial" w:cs="Arial"/>
          <w:sz w:val="20"/>
          <w:szCs w:val="20"/>
        </w:rPr>
        <w:t>. Discharges or outflux of patients at ward facility scale follows similar patterns</w:t>
      </w:r>
      <w:r w:rsidR="00170C7C">
        <w:rPr>
          <w:rFonts w:ascii="Arial" w:hAnsi="Arial" w:cs="Arial"/>
          <w:sz w:val="20"/>
          <w:szCs w:val="20"/>
        </w:rPr>
        <w:t xml:space="preserve"> with some few wards per building </w:t>
      </w:r>
      <w:r w:rsidR="005518E7">
        <w:rPr>
          <w:rFonts w:ascii="Arial" w:hAnsi="Arial" w:cs="Arial"/>
          <w:sz w:val="20"/>
          <w:szCs w:val="20"/>
        </w:rPr>
        <w:t>admitting the majority of patients per week</w:t>
      </w:r>
      <w:r w:rsidRPr="00E141BA">
        <w:rPr>
          <w:rFonts w:ascii="Arial" w:hAnsi="Arial" w:cs="Arial"/>
          <w:sz w:val="20"/>
          <w:szCs w:val="20"/>
        </w:rPr>
        <w:t xml:space="preserve"> </w:t>
      </w:r>
      <w:r w:rsidR="00542F9C">
        <w:rPr>
          <w:rFonts w:ascii="Arial" w:hAnsi="Arial" w:cs="Arial"/>
          <w:sz w:val="20"/>
          <w:szCs w:val="20"/>
        </w:rPr>
        <w:t xml:space="preserve">and with stable patient traffic </w:t>
      </w:r>
      <w:r w:rsidRPr="00E141BA">
        <w:rPr>
          <w:rFonts w:ascii="Arial" w:hAnsi="Arial" w:cs="Arial"/>
          <w:sz w:val="20"/>
          <w:szCs w:val="20"/>
        </w:rPr>
        <w:t xml:space="preserve">(See </w:t>
      </w:r>
      <w:r w:rsidR="00FC60F9">
        <w:rPr>
          <w:rFonts w:ascii="Arial" w:hAnsi="Arial" w:cs="Arial"/>
          <w:sz w:val="20"/>
          <w:szCs w:val="20"/>
        </w:rPr>
        <w:t>Figure 1</w:t>
      </w:r>
      <w:r w:rsidR="003E18D5">
        <w:rPr>
          <w:rFonts w:ascii="Arial" w:hAnsi="Arial" w:cs="Arial"/>
          <w:sz w:val="20"/>
          <w:szCs w:val="20"/>
        </w:rPr>
        <w:t>A</w:t>
      </w:r>
      <w:r w:rsidR="003D6104">
        <w:rPr>
          <w:rFonts w:ascii="Arial" w:hAnsi="Arial" w:cs="Arial"/>
          <w:sz w:val="20"/>
          <w:szCs w:val="20"/>
        </w:rPr>
        <w:t xml:space="preserve"> and </w:t>
      </w:r>
      <w:r w:rsidR="00E451D3">
        <w:rPr>
          <w:rFonts w:ascii="Arial" w:hAnsi="Arial" w:cs="Arial"/>
          <w:sz w:val="20"/>
          <w:szCs w:val="20"/>
        </w:rPr>
        <w:t>SI</w:t>
      </w:r>
      <w:r w:rsidR="003D6104">
        <w:rPr>
          <w:rFonts w:ascii="Arial" w:hAnsi="Arial" w:cs="Arial"/>
          <w:sz w:val="20"/>
          <w:szCs w:val="20"/>
        </w:rPr>
        <w:t xml:space="preserve"> Figure S</w:t>
      </w:r>
      <w:r w:rsidR="00685A26">
        <w:rPr>
          <w:rFonts w:ascii="Arial" w:hAnsi="Arial" w:cs="Arial"/>
          <w:sz w:val="20"/>
          <w:szCs w:val="20"/>
        </w:rPr>
        <w:t>2</w:t>
      </w:r>
      <w:r w:rsidRPr="00E141BA">
        <w:rPr>
          <w:rFonts w:ascii="Arial" w:hAnsi="Arial" w:cs="Arial"/>
          <w:sz w:val="20"/>
          <w:szCs w:val="20"/>
        </w:rPr>
        <w:t>)</w:t>
      </w:r>
      <w:r w:rsidR="00A36209">
        <w:rPr>
          <w:rFonts w:ascii="Arial" w:hAnsi="Arial" w:cs="Arial"/>
          <w:sz w:val="20"/>
          <w:szCs w:val="20"/>
        </w:rPr>
        <w:t>.</w:t>
      </w:r>
      <w:r w:rsidR="00A35F60">
        <w:rPr>
          <w:rFonts w:ascii="Arial" w:hAnsi="Arial" w:cs="Arial"/>
          <w:sz w:val="20"/>
          <w:szCs w:val="20"/>
        </w:rPr>
        <w:t xml:space="preserve"> </w:t>
      </w:r>
      <w:r w:rsidR="005518E7">
        <w:rPr>
          <w:rFonts w:ascii="Arial" w:hAnsi="Arial" w:cs="Arial"/>
          <w:sz w:val="20"/>
          <w:szCs w:val="20"/>
        </w:rPr>
        <w:t>This heterogeneity in admissions and hospitalizations is</w:t>
      </w:r>
      <w:r w:rsidR="00A84A73">
        <w:rPr>
          <w:rFonts w:ascii="Arial" w:hAnsi="Arial" w:cs="Arial"/>
          <w:sz w:val="20"/>
          <w:szCs w:val="20"/>
        </w:rPr>
        <w:t xml:space="preserve"> principally</w:t>
      </w:r>
      <w:r w:rsidR="005518E7">
        <w:rPr>
          <w:rFonts w:ascii="Arial" w:hAnsi="Arial" w:cs="Arial"/>
          <w:sz w:val="20"/>
          <w:szCs w:val="20"/>
        </w:rPr>
        <w:t xml:space="preserve"> dictated by ward size</w:t>
      </w:r>
      <w:r w:rsidR="00D77B39">
        <w:rPr>
          <w:rFonts w:ascii="Arial" w:hAnsi="Arial" w:cs="Arial"/>
          <w:sz w:val="20"/>
          <w:szCs w:val="20"/>
        </w:rPr>
        <w:t xml:space="preserve"> that was also variable at the building scale</w:t>
      </w:r>
      <w:r w:rsidR="005518E7">
        <w:rPr>
          <w:rFonts w:ascii="Arial" w:hAnsi="Arial" w:cs="Arial"/>
          <w:sz w:val="20"/>
          <w:szCs w:val="20"/>
        </w:rPr>
        <w:t xml:space="preserve"> (See</w:t>
      </w:r>
      <w:r w:rsidR="00D77B39">
        <w:rPr>
          <w:rFonts w:ascii="Arial" w:hAnsi="Arial" w:cs="Arial"/>
          <w:sz w:val="20"/>
          <w:szCs w:val="20"/>
        </w:rPr>
        <w:t xml:space="preserve"> SI Figure S</w:t>
      </w:r>
      <w:r w:rsidR="00E9210B">
        <w:rPr>
          <w:rFonts w:ascii="Arial" w:hAnsi="Arial" w:cs="Arial"/>
          <w:sz w:val="20"/>
          <w:szCs w:val="20"/>
        </w:rPr>
        <w:t>3</w:t>
      </w:r>
      <w:r w:rsidR="00D77B39">
        <w:rPr>
          <w:rFonts w:ascii="Arial" w:hAnsi="Arial" w:cs="Arial"/>
          <w:sz w:val="20"/>
          <w:szCs w:val="20"/>
        </w:rPr>
        <w:t xml:space="preserve"> for ward size distribution and</w:t>
      </w:r>
      <w:r w:rsidR="00E451D3">
        <w:rPr>
          <w:rFonts w:ascii="Arial" w:hAnsi="Arial" w:cs="Arial"/>
          <w:sz w:val="20"/>
          <w:szCs w:val="20"/>
        </w:rPr>
        <w:t xml:space="preserve"> SI</w:t>
      </w:r>
      <w:r w:rsidR="005518E7">
        <w:rPr>
          <w:rFonts w:ascii="Arial" w:hAnsi="Arial" w:cs="Arial"/>
          <w:sz w:val="20"/>
          <w:szCs w:val="20"/>
        </w:rPr>
        <w:t xml:space="preserve"> Figure S</w:t>
      </w:r>
      <w:r w:rsidR="002B2C40">
        <w:rPr>
          <w:rFonts w:ascii="Arial" w:hAnsi="Arial" w:cs="Arial"/>
          <w:sz w:val="20"/>
          <w:szCs w:val="20"/>
        </w:rPr>
        <w:t>4</w:t>
      </w:r>
      <w:r w:rsidR="00D77B39">
        <w:rPr>
          <w:rFonts w:ascii="Arial" w:hAnsi="Arial" w:cs="Arial"/>
          <w:sz w:val="20"/>
          <w:szCs w:val="20"/>
        </w:rPr>
        <w:t xml:space="preserve"> for the linear relationship</w:t>
      </w:r>
      <w:r w:rsidR="005518E7">
        <w:rPr>
          <w:rFonts w:ascii="Arial" w:hAnsi="Arial" w:cs="Arial"/>
          <w:sz w:val="20"/>
          <w:szCs w:val="20"/>
        </w:rPr>
        <w:t>)</w:t>
      </w:r>
      <w:r w:rsidR="00E90E92">
        <w:rPr>
          <w:rFonts w:ascii="Arial" w:hAnsi="Arial" w:cs="Arial"/>
          <w:sz w:val="20"/>
          <w:szCs w:val="20"/>
        </w:rPr>
        <w:t>.</w:t>
      </w:r>
      <w:r w:rsidR="00E621AE">
        <w:rPr>
          <w:rFonts w:ascii="Arial" w:hAnsi="Arial" w:cs="Arial"/>
          <w:sz w:val="20"/>
          <w:szCs w:val="20"/>
        </w:rPr>
        <w:t xml:space="preserve"> </w:t>
      </w:r>
      <w:r>
        <w:rPr>
          <w:rFonts w:ascii="Arial" w:hAnsi="Arial" w:cs="Arial"/>
          <w:sz w:val="20"/>
          <w:szCs w:val="20"/>
        </w:rPr>
        <w:t>In contrast, communities are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w:t>
      </w:r>
      <w:r w:rsidR="001D37D4">
        <w:rPr>
          <w:rFonts w:ascii="Arial" w:hAnsi="Arial" w:cs="Arial"/>
          <w:sz w:val="20"/>
          <w:szCs w:val="20"/>
        </w:rPr>
        <w:t xml:space="preserve">as many bacterial species </w:t>
      </w:r>
      <w:r w:rsidR="004460D7">
        <w:rPr>
          <w:rFonts w:ascii="Arial" w:hAnsi="Arial" w:cs="Arial"/>
          <w:sz w:val="20"/>
          <w:szCs w:val="20"/>
        </w:rPr>
        <w:t xml:space="preserve">exist </w:t>
      </w:r>
      <w:r w:rsidR="001D37D4">
        <w:rPr>
          <w:rFonts w:ascii="Arial" w:hAnsi="Arial" w:cs="Arial"/>
          <w:sz w:val="20"/>
          <w:szCs w:val="20"/>
        </w:rPr>
        <w:t>as commen</w:t>
      </w:r>
      <w:r w:rsidR="00D13FE4">
        <w:rPr>
          <w:rFonts w:ascii="Arial" w:hAnsi="Arial" w:cs="Arial"/>
          <w:sz w:val="20"/>
          <w:szCs w:val="20"/>
        </w:rPr>
        <w:t>s</w:t>
      </w:r>
      <w:r w:rsidR="001D37D4">
        <w:rPr>
          <w:rFonts w:ascii="Arial" w:hAnsi="Arial" w:cs="Arial"/>
          <w:sz w:val="20"/>
          <w:szCs w:val="20"/>
        </w:rPr>
        <w:t xml:space="preserve">als on the human </w:t>
      </w:r>
      <w:r w:rsidR="00D03447">
        <w:rPr>
          <w:rFonts w:ascii="Arial" w:hAnsi="Arial" w:cs="Arial"/>
          <w:sz w:val="20"/>
          <w:szCs w:val="20"/>
        </w:rPr>
        <w:t>hosts'</w:t>
      </w:r>
      <w:ins w:id="9" w:author="Cascante Vega, Jaime E." w:date="2023-04-27T13:15:00Z">
        <w:r w:rsidR="006F2D38">
          <w:rPr>
            <w:rFonts w:ascii="Arial" w:hAnsi="Arial" w:cs="Arial"/>
            <w:sz w:val="20"/>
            <w:szCs w:val="20"/>
          </w:rPr>
          <w:t xml:space="preserve"> </w:t>
        </w:r>
      </w:ins>
      <w:r w:rsidR="001D37D4">
        <w:rPr>
          <w:rFonts w:ascii="Arial" w:hAnsi="Arial" w:cs="Arial"/>
          <w:sz w:val="20"/>
          <w:szCs w:val="20"/>
        </w:rPr>
        <w:t xml:space="preserve"> detection of </w:t>
      </w:r>
      <w:r w:rsidR="00D13FE4">
        <w:rPr>
          <w:rFonts w:ascii="Arial" w:hAnsi="Arial" w:cs="Arial"/>
          <w:sz w:val="20"/>
          <w:szCs w:val="20"/>
        </w:rPr>
        <w:t>colonization</w:t>
      </w:r>
      <w:r w:rsidR="001D37D4">
        <w:rPr>
          <w:rFonts w:ascii="Arial" w:hAnsi="Arial" w:cs="Arial"/>
          <w:sz w:val="20"/>
          <w:szCs w:val="20"/>
        </w:rPr>
        <w:t xml:space="preserve"> is difficult </w:t>
      </w:r>
      <w:r>
        <w:rPr>
          <w:rFonts w:ascii="Arial" w:hAnsi="Arial" w:cs="Arial"/>
          <w:sz w:val="20"/>
          <w:szCs w:val="20"/>
        </w:rPr>
        <w:t xml:space="preserve">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w:t>
      </w:r>
      <w:r w:rsidR="00AE77B1">
        <w:rPr>
          <w:rFonts w:ascii="Arial" w:hAnsi="Arial" w:cs="Arial"/>
          <w:sz w:val="20"/>
          <w:szCs w:val="20"/>
        </w:rPr>
        <w:t>hospitals</w:t>
      </w:r>
      <w:r>
        <w:rPr>
          <w:rFonts w:ascii="Arial" w:hAnsi="Arial" w:cs="Arial"/>
          <w:sz w:val="20"/>
          <w:szCs w:val="20"/>
        </w:rPr>
        <w:t xml:space="preserve">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697AC4">
        <w:rPr>
          <w:rFonts w:ascii="Arial" w:hAnsi="Arial" w:cs="Arial"/>
          <w:sz w:val="20"/>
          <w:szCs w:val="20"/>
        </w:rPr>
        <w:instrText xml:space="preserve"> ADDIN ZOTERO_ITEM CSL_CITATION {"citationID":"aSlHK9vT","properties":{"formattedCitation":"\\super 17,30\\nosupersub{}","plainCitation":"17,30","noteIndex":0},"citationItems":[{"id":130,"uris":["http://zotero.org/users/9551388/items/IUTFA7I6"],"itemData":{"id":130,"type":"article-journal","abstract":"Hospital-acquired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697AC4" w:rsidRPr="00697AC4">
        <w:rPr>
          <w:rFonts w:ascii="Arial" w:hAnsi="Arial" w:cs="Arial"/>
          <w:sz w:val="20"/>
          <w:vertAlign w:val="superscript"/>
          <w:lang w:val="en-GB"/>
        </w:rPr>
        <w:t>17,30</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(e.g., infusion, pediatric, emergency wards</w:t>
      </w:r>
      <w:r w:rsidR="00B20C14">
        <w:rPr>
          <w:rFonts w:ascii="Arial" w:hAnsi="Arial" w:cs="Arial"/>
          <w:sz w:val="20"/>
          <w:szCs w:val="20"/>
        </w:rPr>
        <w:t>, surgical</w:t>
      </w:r>
      <w:r w:rsidRPr="00E141BA">
        <w:rPr>
          <w:rFonts w:ascii="Arial" w:hAnsi="Arial" w:cs="Arial"/>
          <w:sz w:val="20"/>
          <w:szCs w:val="20"/>
        </w:rPr>
        <w:t xml:space="preserve">, among others) </w:t>
      </w:r>
      <w:r>
        <w:rPr>
          <w:rFonts w:ascii="Arial" w:hAnsi="Arial" w:cs="Arial"/>
          <w:sz w:val="20"/>
          <w:szCs w:val="20"/>
        </w:rPr>
        <w:t xml:space="preserve">may differ substantially in their control and detection of </w:t>
      </w:r>
      <w:r w:rsidR="00CA7DE0">
        <w:rPr>
          <w:rFonts w:ascii="Arial" w:hAnsi="Arial" w:cs="Arial"/>
          <w:sz w:val="20"/>
          <w:szCs w:val="20"/>
        </w:rPr>
        <w:t>microorganisms</w:t>
      </w:r>
      <w:r w:rsidR="00B97B33">
        <w:rPr>
          <w:rFonts w:ascii="Arial" w:hAnsi="Arial" w:cs="Arial"/>
          <w:sz w:val="20"/>
          <w:szCs w:val="20"/>
        </w:rPr>
        <w:t xml:space="preserve"> </w:t>
      </w:r>
      <w:r w:rsidR="00997AE0">
        <w:rPr>
          <w:rFonts w:ascii="Arial" w:hAnsi="Arial" w:cs="Arial"/>
          <w:sz w:val="20"/>
          <w:szCs w:val="20"/>
        </w:rPr>
        <w:t xml:space="preserve">as well as in the hospital traffic </w:t>
      </w:r>
      <w:r w:rsidR="005069FE">
        <w:rPr>
          <w:rFonts w:ascii="Arial" w:hAnsi="Arial" w:cs="Arial"/>
          <w:sz w:val="20"/>
          <w:szCs w:val="20"/>
        </w:rPr>
        <w:t>features</w:t>
      </w:r>
      <w:r>
        <w:rPr>
          <w:rFonts w:ascii="Arial" w:hAnsi="Arial" w:cs="Arial"/>
          <w:sz w:val="20"/>
          <w:szCs w:val="20"/>
        </w:rPr>
        <w:t>, a complication compounded by</w:t>
      </w:r>
      <w:r w:rsidR="000120EB">
        <w:rPr>
          <w:rFonts w:ascii="Arial" w:hAnsi="Arial" w:cs="Arial"/>
          <w:sz w:val="20"/>
          <w:szCs w:val="20"/>
        </w:rPr>
        <w:t xml:space="preserve"> patient</w:t>
      </w:r>
      <w:r w:rsidR="00C9582B">
        <w:rPr>
          <w:rFonts w:ascii="Arial" w:hAnsi="Arial" w:cs="Arial"/>
          <w:sz w:val="20"/>
          <w:szCs w:val="20"/>
        </w:rPr>
        <w:t xml:space="preserve"> </w:t>
      </w:r>
      <w:r>
        <w:rPr>
          <w:rFonts w:ascii="Arial" w:hAnsi="Arial" w:cs="Arial"/>
          <w:sz w:val="20"/>
          <w:szCs w:val="20"/>
        </w:rPr>
        <w:t>transfers between wards and hospital</w:t>
      </w:r>
      <w:r w:rsidR="00707155">
        <w:rPr>
          <w:rFonts w:ascii="Arial" w:hAnsi="Arial" w:cs="Arial"/>
          <w:sz w:val="20"/>
          <w:szCs w:val="20"/>
        </w:rPr>
        <w:t xml:space="preserve"> buildings</w:t>
      </w:r>
      <w:r w:rsidR="00884D5F">
        <w:rPr>
          <w:rFonts w:ascii="Arial" w:hAnsi="Arial" w:cs="Arial"/>
          <w:sz w:val="20"/>
          <w:szCs w:val="20"/>
        </w:rPr>
        <w:t xml:space="preserve"> </w:t>
      </w:r>
      <w:r w:rsidR="00EE1F7C">
        <w:rPr>
          <w:rFonts w:ascii="Arial" w:hAnsi="Arial" w:cs="Arial"/>
          <w:sz w:val="20"/>
          <w:szCs w:val="20"/>
        </w:rPr>
        <w:t>(see</w:t>
      </w:r>
      <w:r w:rsidR="00707155">
        <w:rPr>
          <w:rFonts w:ascii="Arial" w:hAnsi="Arial" w:cs="Arial"/>
          <w:sz w:val="20"/>
          <w:szCs w:val="20"/>
        </w:rPr>
        <w:t xml:space="preserve"> SI</w:t>
      </w:r>
      <w:r w:rsidR="00EE1F7C">
        <w:rPr>
          <w:rFonts w:ascii="Arial" w:hAnsi="Arial" w:cs="Arial"/>
          <w:sz w:val="20"/>
          <w:szCs w:val="20"/>
        </w:rPr>
        <w:t xml:space="preserve"> Figure S</w:t>
      </w:r>
      <w:r w:rsidR="00707155">
        <w:rPr>
          <w:rFonts w:ascii="Arial" w:hAnsi="Arial" w:cs="Arial"/>
          <w:sz w:val="20"/>
          <w:szCs w:val="20"/>
        </w:rPr>
        <w:t>5</w:t>
      </w:r>
      <w:r w:rsidR="00EE1F7C">
        <w:rPr>
          <w:rFonts w:ascii="Arial" w:hAnsi="Arial" w:cs="Arial"/>
          <w:sz w:val="20"/>
          <w:szCs w:val="20"/>
        </w:rPr>
        <w:t>)</w:t>
      </w:r>
      <w:r w:rsidR="00DA367F">
        <w:rPr>
          <w:rFonts w:ascii="Arial" w:hAnsi="Arial" w:cs="Arial"/>
          <w:sz w:val="20"/>
          <w:szCs w:val="20"/>
        </w:rPr>
        <w:t xml:space="preserve"> </w:t>
      </w:r>
      <w:r w:rsidRPr="00E141BA">
        <w:rPr>
          <w:rFonts w:ascii="Arial" w:hAnsi="Arial" w:cs="Arial"/>
          <w:sz w:val="20"/>
          <w:szCs w:val="20"/>
        </w:rPr>
        <w:fldChar w:fldCharType="begin"/>
      </w:r>
      <w:r w:rsidR="00697AC4">
        <w:rPr>
          <w:rFonts w:ascii="Arial" w:hAnsi="Arial" w:cs="Arial"/>
          <w:sz w:val="20"/>
          <w:szCs w:val="20"/>
        </w:rPr>
        <w:instrText xml:space="preserve"> ADDIN ZOTERO_ITEM CSL_CITATION {"citationID":"igZ21RXh","properties":{"formattedCitation":"\\super 31,32\\nosupersub{}","plainCitation":"31,32","noteIndex":0},"citationItems":[{"id":144,"uris":["http://zotero.org/users/9551388/items/4Z8P8X96"],"itemData":{"id":144,"type":"article-journal","abstract":"The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697AC4" w:rsidRPr="00697AC4">
        <w:rPr>
          <w:rFonts w:ascii="Arial" w:hAnsi="Arial" w:cs="Arial"/>
          <w:sz w:val="20"/>
          <w:vertAlign w:val="superscript"/>
          <w:lang w:val="en-GB"/>
        </w:rPr>
        <w:t>31,32</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009D326C">
        <w:rPr>
          <w:rFonts w:ascii="Arial" w:hAnsi="Arial" w:cs="Arial"/>
          <w:sz w:val="20"/>
          <w:szCs w:val="20"/>
        </w:rPr>
        <w:t xml:space="preserve"> </w:t>
      </w:r>
      <w:r w:rsidR="005F23B0">
        <w:rPr>
          <w:rFonts w:ascii="Arial" w:hAnsi="Arial" w:cs="Arial"/>
          <w:sz w:val="20"/>
          <w:szCs w:val="20"/>
        </w:rPr>
        <w:t>communit</w:t>
      </w:r>
      <w:r w:rsidR="009725B1">
        <w:rPr>
          <w:rFonts w:ascii="Arial" w:hAnsi="Arial" w:cs="Arial"/>
          <w:sz w:val="20"/>
          <w:szCs w:val="20"/>
        </w:rPr>
        <w:t>ies</w:t>
      </w:r>
      <w:r w:rsidR="005F23B0">
        <w:rPr>
          <w:rFonts w:ascii="Arial" w:hAnsi="Arial" w:cs="Arial"/>
          <w:sz w:val="20"/>
          <w:szCs w:val="20"/>
        </w:rPr>
        <w:t xml:space="preserve"> of</w:t>
      </w:r>
      <w:r w:rsidR="005F23B0" w:rsidRPr="00027E61">
        <w:rPr>
          <w:rFonts w:ascii="Arial" w:hAnsi="Arial" w:cs="Arial"/>
          <w:sz w:val="20"/>
          <w:szCs w:val="20"/>
        </w:rPr>
        <w:t xml:space="preserve"> </w:t>
      </w:r>
      <w:r w:rsidR="00271336">
        <w:rPr>
          <w:rFonts w:ascii="Arial" w:hAnsi="Arial" w:cs="Arial"/>
          <w:sz w:val="20"/>
          <w:szCs w:val="20"/>
        </w:rPr>
        <w:t>microorganisms</w:t>
      </w:r>
      <w:r w:rsidR="005F23B0">
        <w:rPr>
          <w:rFonts w:ascii="Arial" w:hAnsi="Arial" w:cs="Arial"/>
          <w:sz w:val="20"/>
          <w:szCs w:val="20"/>
        </w:rPr>
        <w:t xml:space="preserve"> spreading among patients and the </w:t>
      </w:r>
      <w:r w:rsidR="006A7251">
        <w:rPr>
          <w:rFonts w:ascii="Arial" w:hAnsi="Arial" w:cs="Arial"/>
          <w:sz w:val="20"/>
          <w:szCs w:val="20"/>
        </w:rPr>
        <w:t>environment</w:t>
      </w:r>
      <w:r w:rsidR="00271336">
        <w:rPr>
          <w:rFonts w:ascii="Arial" w:hAnsi="Arial" w:cs="Arial"/>
          <w:sz w:val="20"/>
          <w:szCs w:val="20"/>
        </w:rPr>
        <w:t xml:space="preserve">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the epidemiological features of co-circulating organisms</w:t>
      </w:r>
      <w:r w:rsidR="00272265">
        <w:rPr>
          <w:rFonts w:ascii="Arial" w:hAnsi="Arial" w:cs="Arial"/>
          <w:sz w:val="20"/>
          <w:szCs w:val="20"/>
        </w:rPr>
        <w:t>.</w:t>
      </w:r>
      <w:r w:rsidR="005F23B0">
        <w:rPr>
          <w:rFonts w:ascii="Arial" w:hAnsi="Arial" w:cs="Arial"/>
          <w:sz w:val="20"/>
          <w:szCs w:val="20"/>
        </w:rPr>
        <w:t xml:space="preserve"> </w:t>
      </w:r>
    </w:p>
    <w:p w14:paraId="6499A67E" w14:textId="032A4C5C" w:rsidR="008C00CA" w:rsidRDefault="005E4095" w:rsidP="00375E79">
      <w:pPr>
        <w:spacing w:line="360" w:lineRule="auto"/>
        <w:jc w:val="both"/>
        <w:rPr>
          <w:rFonts w:ascii="Arial" w:hAnsi="Arial" w:cs="Arial"/>
          <w:sz w:val="20"/>
          <w:szCs w:val="20"/>
        </w:rPr>
      </w:pPr>
      <w:r>
        <w:rPr>
          <w:rFonts w:ascii="Arial" w:hAnsi="Arial" w:cs="Arial"/>
          <w:sz w:val="20"/>
          <w:szCs w:val="20"/>
        </w:rPr>
        <w:t xml:space="preserve">In this study, we use </w:t>
      </w:r>
      <w:r w:rsidR="00D4740B">
        <w:rPr>
          <w:rFonts w:ascii="Arial" w:hAnsi="Arial" w:cs="Arial"/>
          <w:sz w:val="20"/>
          <w:szCs w:val="20"/>
        </w:rPr>
        <w:t xml:space="preserve">a </w:t>
      </w:r>
      <w:r w:rsidR="00C7084A">
        <w:rPr>
          <w:rFonts w:ascii="Arial" w:hAnsi="Arial" w:cs="Arial"/>
          <w:sz w:val="20"/>
          <w:szCs w:val="20"/>
        </w:rPr>
        <w:t xml:space="preserve">process </w:t>
      </w:r>
      <w:r>
        <w:rPr>
          <w:rFonts w:ascii="Arial" w:hAnsi="Arial" w:cs="Arial"/>
          <w:sz w:val="20"/>
          <w:szCs w:val="20"/>
        </w:rPr>
        <w:t xml:space="preserve">agent-based model (ABM) and detailed observational data for eight prevalent </w:t>
      </w:r>
      <w:r w:rsidR="006649E3">
        <w:rPr>
          <w:rFonts w:ascii="Arial" w:hAnsi="Arial" w:cs="Arial"/>
          <w:sz w:val="20"/>
          <w:szCs w:val="20"/>
        </w:rPr>
        <w:t xml:space="preserve">pathogenic </w:t>
      </w:r>
      <w:r w:rsidR="00A3144C">
        <w:rPr>
          <w:rFonts w:ascii="Arial" w:hAnsi="Arial" w:cs="Arial"/>
          <w:sz w:val="20"/>
          <w:szCs w:val="20"/>
        </w:rPr>
        <w:t xml:space="preserve">microbial </w:t>
      </w:r>
      <w:r w:rsidR="00925FE4">
        <w:rPr>
          <w:rFonts w:ascii="Arial" w:hAnsi="Arial" w:cs="Arial"/>
          <w:sz w:val="20"/>
          <w:szCs w:val="20"/>
        </w:rPr>
        <w:t>species</w:t>
      </w:r>
      <w:r w:rsidR="00A3144C">
        <w:rPr>
          <w:rFonts w:ascii="Arial" w:hAnsi="Arial" w:cs="Arial"/>
          <w:sz w:val="20"/>
          <w:szCs w:val="20"/>
        </w:rPr>
        <w:t xml:space="preserve"> </w:t>
      </w:r>
      <w:r>
        <w:rPr>
          <w:rFonts w:ascii="Arial" w:hAnsi="Arial" w:cs="Arial"/>
          <w:sz w:val="20"/>
          <w:szCs w:val="20"/>
        </w:rPr>
        <w:t>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w:t>
      </w:r>
      <w:r w:rsidR="007C2D8A">
        <w:rPr>
          <w:rFonts w:ascii="Arial" w:hAnsi="Arial" w:cs="Arial"/>
          <w:sz w:val="20"/>
          <w:szCs w:val="20"/>
        </w:rPr>
        <w:t>ABM</w:t>
      </w:r>
      <w:r>
        <w:rPr>
          <w:rFonts w:ascii="Arial" w:hAnsi="Arial" w:cs="Arial"/>
          <w:sz w:val="20"/>
          <w:szCs w:val="20"/>
        </w:rPr>
        <w:t xml:space="preserve">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w:t>
      </w:r>
      <w:r w:rsidR="00B16C08">
        <w:rPr>
          <w:rFonts w:ascii="Arial" w:hAnsi="Arial" w:cs="Arial"/>
          <w:sz w:val="20"/>
          <w:szCs w:val="20"/>
        </w:rPr>
        <w:t>nosocomial</w:t>
      </w:r>
      <w:r>
        <w:rPr>
          <w:rFonts w:ascii="Arial" w:hAnsi="Arial" w:cs="Arial"/>
          <w:sz w:val="20"/>
          <w:szCs w:val="20"/>
        </w:rPr>
        <w:t xml:space="preserve"> transmission,</w:t>
      </w:r>
      <w:r w:rsidR="00E621AE">
        <w:rPr>
          <w:rFonts w:ascii="Arial" w:hAnsi="Arial" w:cs="Arial"/>
          <w:sz w:val="20"/>
          <w:szCs w:val="20"/>
        </w:rPr>
        <w:t xml:space="preserve"> </w:t>
      </w:r>
      <w:r>
        <w:rPr>
          <w:rFonts w:ascii="Arial" w:hAnsi="Arial" w:cs="Arial"/>
          <w:sz w:val="20"/>
          <w:szCs w:val="20"/>
        </w:rPr>
        <w:t xml:space="preserve"> patient transfer across hospital wards</w:t>
      </w:r>
      <w:r w:rsidR="00334830">
        <w:rPr>
          <w:rFonts w:ascii="Arial" w:hAnsi="Arial" w:cs="Arial"/>
          <w:sz w:val="20"/>
          <w:szCs w:val="20"/>
        </w:rPr>
        <w:t xml:space="preserve"> and decolonization via host </w:t>
      </w:r>
      <w:r w:rsidR="003F5F0B">
        <w:rPr>
          <w:rFonts w:ascii="Arial" w:hAnsi="Arial" w:cs="Arial"/>
          <w:sz w:val="20"/>
          <w:szCs w:val="20"/>
        </w:rPr>
        <w:t>clearance</w:t>
      </w:r>
      <w:r>
        <w:rPr>
          <w:rFonts w:ascii="Arial" w:hAnsi="Arial" w:cs="Arial"/>
          <w:sz w:val="20"/>
          <w:szCs w:val="20"/>
        </w:rPr>
        <w:t xml:space="preserve">. To account for the heterogeneity of testing frequency and </w:t>
      </w:r>
      <w:r w:rsidR="00271336">
        <w:rPr>
          <w:rFonts w:ascii="Arial" w:hAnsi="Arial" w:cs="Arial"/>
          <w:sz w:val="20"/>
          <w:szCs w:val="20"/>
        </w:rPr>
        <w:t xml:space="preserve">microorganism </w:t>
      </w:r>
      <w:r>
        <w:rPr>
          <w:rFonts w:ascii="Arial" w:hAnsi="Arial" w:cs="Arial"/>
          <w:sz w:val="20"/>
          <w:szCs w:val="20"/>
        </w:rPr>
        <w:t>prevalence among facilities, we use</w:t>
      </w:r>
      <w:r w:rsidR="009F166D">
        <w:rPr>
          <w:rFonts w:ascii="Arial" w:hAnsi="Arial" w:cs="Arial"/>
          <w:sz w:val="20"/>
          <w:szCs w:val="20"/>
        </w:rPr>
        <w:t>d</w:t>
      </w:r>
      <w:r>
        <w:rPr>
          <w:rFonts w:ascii="Arial" w:hAnsi="Arial" w:cs="Arial"/>
          <w:sz w:val="20"/>
          <w:szCs w:val="20"/>
        </w:rPr>
        <w:t xml:space="preserve"> clinical testing records to design </w:t>
      </w:r>
      <w:r w:rsidR="00772B93">
        <w:rPr>
          <w:rFonts w:ascii="Arial" w:hAnsi="Arial" w:cs="Arial"/>
          <w:sz w:val="20"/>
          <w:szCs w:val="20"/>
        </w:rPr>
        <w:t>a patient-level</w:t>
      </w:r>
      <w:r>
        <w:rPr>
          <w:rFonts w:ascii="Arial" w:hAnsi="Arial" w:cs="Arial"/>
          <w:sz w:val="20"/>
          <w:szCs w:val="20"/>
        </w:rPr>
        <w:t xml:space="preserve"> observational model that mimics the detection of </w:t>
      </w:r>
      <w:r w:rsidR="00271336">
        <w:rPr>
          <w:rFonts w:ascii="Arial" w:hAnsi="Arial" w:cs="Arial"/>
          <w:sz w:val="20"/>
          <w:szCs w:val="20"/>
        </w:rPr>
        <w:t xml:space="preserve">microorganisms </w:t>
      </w:r>
      <w:r>
        <w:rPr>
          <w:rFonts w:ascii="Arial" w:hAnsi="Arial" w:cs="Arial"/>
          <w:sz w:val="20"/>
          <w:szCs w:val="20"/>
        </w:rPr>
        <w:t>in hospitals</w:t>
      </w:r>
      <w:r w:rsidR="00EB143A">
        <w:rPr>
          <w:rFonts w:ascii="Arial" w:hAnsi="Arial" w:cs="Arial"/>
          <w:sz w:val="20"/>
          <w:szCs w:val="20"/>
        </w:rPr>
        <w:t>.</w:t>
      </w:r>
    </w:p>
    <w:p w14:paraId="1F551716" w14:textId="622C1DD7" w:rsidR="00407F9C" w:rsidRDefault="00154996" w:rsidP="00375E79">
      <w:pPr>
        <w:spacing w:line="360" w:lineRule="auto"/>
        <w:jc w:val="both"/>
        <w:rPr>
          <w:rFonts w:ascii="Arial" w:hAnsi="Arial" w:cs="Arial"/>
          <w:sz w:val="20"/>
          <w:szCs w:val="20"/>
        </w:rPr>
      </w:pPr>
      <w:r>
        <w:rPr>
          <w:rFonts w:ascii="Arial" w:hAnsi="Arial" w:cs="Arial"/>
          <w:sz w:val="20"/>
          <w:szCs w:val="20"/>
        </w:rPr>
        <w:t>W</w:t>
      </w:r>
      <w:r w:rsidR="00772B93">
        <w:rPr>
          <w:rFonts w:ascii="Arial" w:hAnsi="Arial" w:cs="Arial"/>
          <w:sz w:val="20"/>
          <w:szCs w:val="20"/>
        </w:rPr>
        <w:t xml:space="preserve">e searched the literature to set the importation rate of each </w:t>
      </w:r>
      <w:r w:rsidR="007D167C">
        <w:rPr>
          <w:rFonts w:ascii="Arial" w:hAnsi="Arial" w:cs="Arial"/>
          <w:sz w:val="20"/>
          <w:szCs w:val="20"/>
        </w:rPr>
        <w:t>microorganism</w:t>
      </w:r>
      <w:r w:rsidR="00772B93">
        <w:rPr>
          <w:rFonts w:ascii="Arial" w:hAnsi="Arial" w:cs="Arial"/>
          <w:sz w:val="20"/>
          <w:szCs w:val="20"/>
        </w:rPr>
        <w:t xml:space="preserve"> as a proxy of the community prevalence. Our search terms included 'prevalence', 'colonization'</w:t>
      </w:r>
      <w:r w:rsidR="0033470D">
        <w:rPr>
          <w:rFonts w:ascii="Arial" w:hAnsi="Arial" w:cs="Arial"/>
          <w:sz w:val="20"/>
          <w:szCs w:val="20"/>
        </w:rPr>
        <w:t>, 'carriage rate'</w:t>
      </w:r>
      <w:r w:rsidR="00772B93">
        <w:rPr>
          <w:rFonts w:ascii="Arial" w:hAnsi="Arial" w:cs="Arial"/>
          <w:sz w:val="20"/>
          <w:szCs w:val="20"/>
        </w:rPr>
        <w:t xml:space="preserve">, </w:t>
      </w:r>
      <w:r w:rsidR="00E621AE">
        <w:rPr>
          <w:rFonts w:ascii="Arial" w:hAnsi="Arial" w:cs="Arial"/>
          <w:sz w:val="20"/>
          <w:szCs w:val="20"/>
        </w:rPr>
        <w:t>and</w:t>
      </w:r>
      <w:r w:rsidR="00772B93">
        <w:rPr>
          <w:rFonts w:ascii="Arial" w:hAnsi="Arial" w:cs="Arial"/>
          <w:sz w:val="20"/>
          <w:szCs w:val="20"/>
        </w:rPr>
        <w:t xml:space="preserve"> </w:t>
      </w:r>
      <w:r w:rsidR="007D167C">
        <w:rPr>
          <w:rFonts w:ascii="Arial" w:hAnsi="Arial" w:cs="Arial"/>
          <w:sz w:val="20"/>
          <w:szCs w:val="20"/>
        </w:rPr>
        <w:t>used</w:t>
      </w:r>
      <w:r w:rsidR="00772B93">
        <w:rPr>
          <w:rFonts w:ascii="Arial" w:hAnsi="Arial" w:cs="Arial"/>
          <w:sz w:val="20"/>
          <w:szCs w:val="20"/>
        </w:rPr>
        <w:t xml:space="preserve"> reviews for some of the organisms</w:t>
      </w:r>
      <w:r w:rsidR="00E621AE">
        <w:rPr>
          <w:rFonts w:ascii="Arial" w:hAnsi="Arial" w:cs="Arial"/>
          <w:sz w:val="20"/>
          <w:szCs w:val="20"/>
        </w:rPr>
        <w:t xml:space="preserve"> </w:t>
      </w:r>
      <w:r w:rsidR="008C00CA">
        <w:rPr>
          <w:rFonts w:ascii="Arial" w:hAnsi="Arial" w:cs="Arial"/>
          <w:sz w:val="20"/>
          <w:szCs w:val="20"/>
        </w:rPr>
        <w:t xml:space="preserve">that reported </w:t>
      </w:r>
      <w:r w:rsidR="00E621AE">
        <w:rPr>
          <w:rFonts w:ascii="Arial" w:hAnsi="Arial" w:cs="Arial"/>
          <w:sz w:val="20"/>
          <w:szCs w:val="20"/>
        </w:rPr>
        <w:t>pool</w:t>
      </w:r>
      <w:r w:rsidR="007B22C1">
        <w:rPr>
          <w:rFonts w:ascii="Arial" w:hAnsi="Arial" w:cs="Arial"/>
          <w:sz w:val="20"/>
          <w:szCs w:val="20"/>
        </w:rPr>
        <w:t xml:space="preserve">ed </w:t>
      </w:r>
      <w:r w:rsidR="00E621AE">
        <w:rPr>
          <w:rFonts w:ascii="Arial" w:hAnsi="Arial" w:cs="Arial"/>
          <w:sz w:val="20"/>
          <w:szCs w:val="20"/>
        </w:rPr>
        <w:t>estimates</w:t>
      </w:r>
      <w:r w:rsidR="007D4372">
        <w:rPr>
          <w:rFonts w:ascii="Arial" w:hAnsi="Arial" w:cs="Arial"/>
          <w:sz w:val="20"/>
          <w:szCs w:val="20"/>
        </w:rPr>
        <w:t xml:space="preserve"> across different </w:t>
      </w:r>
      <w:r w:rsidR="008C00CA">
        <w:rPr>
          <w:rFonts w:ascii="Arial" w:hAnsi="Arial" w:cs="Arial"/>
          <w:sz w:val="20"/>
          <w:szCs w:val="20"/>
        </w:rPr>
        <w:t>geographical locations</w:t>
      </w:r>
      <w:r w:rsidR="00772B93">
        <w:rPr>
          <w:rFonts w:ascii="Arial" w:hAnsi="Arial" w:cs="Arial"/>
          <w:sz w:val="20"/>
          <w:szCs w:val="20"/>
        </w:rPr>
        <w:t xml:space="preserve">. In the Supplementary </w:t>
      </w:r>
      <w:r w:rsidR="0033470D">
        <w:rPr>
          <w:rFonts w:ascii="Arial" w:hAnsi="Arial" w:cs="Arial"/>
          <w:sz w:val="20"/>
          <w:szCs w:val="20"/>
        </w:rPr>
        <w:t>Information</w:t>
      </w:r>
      <w:r w:rsidR="003F5F0B">
        <w:rPr>
          <w:rFonts w:ascii="Arial" w:hAnsi="Arial" w:cs="Arial"/>
          <w:sz w:val="20"/>
          <w:szCs w:val="20"/>
        </w:rPr>
        <w:t xml:space="preserve"> section</w:t>
      </w:r>
      <w:r w:rsidR="00772B93">
        <w:rPr>
          <w:rFonts w:ascii="Arial" w:hAnsi="Arial" w:cs="Arial"/>
          <w:sz w:val="20"/>
          <w:szCs w:val="20"/>
        </w:rPr>
        <w:t xml:space="preserve"> </w:t>
      </w:r>
      <w:r w:rsidR="00772B93">
        <w:rPr>
          <w:rFonts w:ascii="Arial" w:hAnsi="Arial" w:cs="Arial"/>
          <w:b/>
          <w:bCs/>
          <w:sz w:val="20"/>
          <w:szCs w:val="20"/>
        </w:rPr>
        <w:t>Prevalence estimates</w:t>
      </w:r>
      <w:r w:rsidR="00772B93">
        <w:rPr>
          <w:rFonts w:ascii="Arial" w:hAnsi="Arial" w:cs="Arial"/>
          <w:sz w:val="20"/>
          <w:szCs w:val="20"/>
        </w:rPr>
        <w:t xml:space="preserve"> we included the different values</w:t>
      </w:r>
      <w:r w:rsidR="0049196F">
        <w:rPr>
          <w:rFonts w:ascii="Arial" w:hAnsi="Arial" w:cs="Arial"/>
          <w:sz w:val="20"/>
          <w:szCs w:val="20"/>
        </w:rPr>
        <w:t>,</w:t>
      </w:r>
      <w:r w:rsidR="00772B93">
        <w:rPr>
          <w:rFonts w:ascii="Arial" w:hAnsi="Arial" w:cs="Arial"/>
          <w:sz w:val="20"/>
          <w:szCs w:val="20"/>
        </w:rPr>
        <w:t xml:space="preserve"> </w:t>
      </w:r>
      <w:r w:rsidR="00D03447">
        <w:rPr>
          <w:rFonts w:ascii="Arial" w:hAnsi="Arial" w:cs="Arial"/>
          <w:sz w:val="20"/>
          <w:szCs w:val="20"/>
        </w:rPr>
        <w:t>sources</w:t>
      </w:r>
      <w:r>
        <w:rPr>
          <w:rFonts w:ascii="Arial" w:hAnsi="Arial" w:cs="Arial"/>
          <w:sz w:val="20"/>
          <w:szCs w:val="20"/>
        </w:rPr>
        <w:t>,</w:t>
      </w:r>
      <w:r w:rsidR="003F5F0B">
        <w:rPr>
          <w:rFonts w:ascii="Arial" w:hAnsi="Arial" w:cs="Arial"/>
          <w:sz w:val="20"/>
          <w:szCs w:val="20"/>
        </w:rPr>
        <w:t xml:space="preserve"> </w:t>
      </w:r>
      <w:r w:rsidR="00772B93">
        <w:rPr>
          <w:rFonts w:ascii="Arial" w:hAnsi="Arial" w:cs="Arial"/>
          <w:sz w:val="20"/>
          <w:szCs w:val="20"/>
        </w:rPr>
        <w:t xml:space="preserve">and a small description of the study, </w:t>
      </w:r>
      <w:r w:rsidR="00AE77B1">
        <w:rPr>
          <w:rFonts w:ascii="Arial" w:hAnsi="Arial" w:cs="Arial"/>
          <w:sz w:val="20"/>
          <w:szCs w:val="20"/>
        </w:rPr>
        <w:t xml:space="preserve">with </w:t>
      </w:r>
      <w:r w:rsidR="00772B93">
        <w:rPr>
          <w:rFonts w:ascii="Arial" w:hAnsi="Arial" w:cs="Arial"/>
          <w:sz w:val="20"/>
          <w:szCs w:val="20"/>
        </w:rPr>
        <w:t xml:space="preserve">the </w:t>
      </w:r>
      <w:r w:rsidR="009326AB">
        <w:rPr>
          <w:rFonts w:ascii="Arial" w:hAnsi="Arial" w:cs="Arial"/>
          <w:sz w:val="20"/>
          <w:szCs w:val="20"/>
        </w:rPr>
        <w:t xml:space="preserve">geographical </w:t>
      </w:r>
      <w:r w:rsidR="00772B93">
        <w:rPr>
          <w:rFonts w:ascii="Arial" w:hAnsi="Arial" w:cs="Arial"/>
          <w:sz w:val="20"/>
          <w:szCs w:val="20"/>
        </w:rPr>
        <w:t>location and population</w:t>
      </w:r>
      <w:r w:rsidR="003F5F0B">
        <w:rPr>
          <w:rFonts w:ascii="Arial" w:hAnsi="Arial" w:cs="Arial"/>
          <w:sz w:val="20"/>
          <w:szCs w:val="20"/>
        </w:rPr>
        <w:t xml:space="preserve"> of interest</w:t>
      </w:r>
      <w:r w:rsidR="00E621AE">
        <w:rPr>
          <w:rFonts w:ascii="Arial" w:hAnsi="Arial" w:cs="Arial"/>
          <w:sz w:val="20"/>
          <w:szCs w:val="20"/>
        </w:rPr>
        <w:t>; in</w:t>
      </w:r>
      <w:r w:rsidR="00772B93">
        <w:rPr>
          <w:rFonts w:ascii="Arial" w:hAnsi="Arial" w:cs="Arial"/>
          <w:sz w:val="20"/>
          <w:szCs w:val="20"/>
        </w:rPr>
        <w:t xml:space="preserve"> Table 1 we consigned a resume with the values</w:t>
      </w:r>
      <w:r w:rsidR="003F5F0B">
        <w:rPr>
          <w:rFonts w:ascii="Arial" w:hAnsi="Arial" w:cs="Arial"/>
          <w:sz w:val="20"/>
          <w:szCs w:val="20"/>
        </w:rPr>
        <w:t>.</w:t>
      </w:r>
      <w:r w:rsidR="00D57284">
        <w:rPr>
          <w:rFonts w:ascii="Arial" w:hAnsi="Arial" w:cs="Arial"/>
          <w:sz w:val="20"/>
          <w:szCs w:val="20"/>
        </w:rPr>
        <w:t xml:space="preserve"> </w:t>
      </w:r>
      <w:r w:rsidR="005E4095">
        <w:rPr>
          <w:rFonts w:ascii="Arial" w:hAnsi="Arial" w:cs="Arial"/>
          <w:sz w:val="20"/>
          <w:szCs w:val="20"/>
        </w:rPr>
        <w:t xml:space="preserve">We couple </w:t>
      </w:r>
      <w:r w:rsidR="005E4095">
        <w:rPr>
          <w:rFonts w:ascii="Arial" w:hAnsi="Arial" w:cs="Arial"/>
          <w:sz w:val="20"/>
          <w:szCs w:val="20"/>
        </w:rPr>
        <w:lastRenderedPageBreak/>
        <w:t>the ABM with a Bayesian inference algorithm, validate the system against simulated outbreaks and estimate</w:t>
      </w:r>
      <w:r w:rsidR="002A1ABE">
        <w:rPr>
          <w:rFonts w:ascii="Arial" w:hAnsi="Arial" w:cs="Arial"/>
          <w:sz w:val="20"/>
          <w:szCs w:val="20"/>
        </w:rPr>
        <w:t xml:space="preserve"> the</w:t>
      </w:r>
      <w:r w:rsidR="005E4095">
        <w:rPr>
          <w:rFonts w:ascii="Arial" w:hAnsi="Arial" w:cs="Arial"/>
          <w:sz w:val="20"/>
          <w:szCs w:val="20"/>
        </w:rPr>
        <w:t xml:space="preserve"> </w:t>
      </w:r>
      <w:r w:rsidR="005417E0">
        <w:rPr>
          <w:rFonts w:ascii="Arial" w:hAnsi="Arial" w:cs="Arial"/>
          <w:sz w:val="20"/>
          <w:szCs w:val="20"/>
        </w:rPr>
        <w:t>likelihood of detection given carriage</w:t>
      </w:r>
      <w:r w:rsidR="005C61C2">
        <w:rPr>
          <w:rFonts w:ascii="Arial" w:hAnsi="Arial" w:cs="Arial"/>
          <w:sz w:val="20"/>
          <w:szCs w:val="20"/>
        </w:rPr>
        <w:t xml:space="preserve"> </w:t>
      </w:r>
      <w:r w:rsidR="005E4095">
        <w:rPr>
          <w:rFonts w:ascii="Arial" w:hAnsi="Arial" w:cs="Arial"/>
          <w:sz w:val="20"/>
          <w:szCs w:val="20"/>
        </w:rPr>
        <w:t xml:space="preserve">and nosocomial transmission rates for the eight </w:t>
      </w:r>
      <w:r>
        <w:rPr>
          <w:rFonts w:ascii="Arial" w:hAnsi="Arial" w:cs="Arial"/>
          <w:sz w:val="20"/>
          <w:szCs w:val="20"/>
        </w:rPr>
        <w:t>micro</w:t>
      </w:r>
      <w:r w:rsidR="005E4095">
        <w:rPr>
          <w:rFonts w:ascii="Arial" w:hAnsi="Arial" w:cs="Arial"/>
          <w:sz w:val="20"/>
          <w:szCs w:val="20"/>
        </w:rPr>
        <w:t xml:space="preserve">organisms, which cause substantial mortality associated with AMR worldwide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5E4095">
        <w:rPr>
          <w:rFonts w:ascii="Arial" w:hAnsi="Arial" w:cs="Arial"/>
          <w:sz w:val="20"/>
          <w:szCs w:val="20"/>
        </w:rPr>
        <w:t>.</w:t>
      </w:r>
      <w:r w:rsidR="00D744E8">
        <w:rPr>
          <w:rFonts w:ascii="Arial" w:hAnsi="Arial" w:cs="Arial"/>
          <w:sz w:val="20"/>
          <w:szCs w:val="20"/>
        </w:rPr>
        <w:t xml:space="preserve"> </w:t>
      </w:r>
      <w:r w:rsidR="00A8536A">
        <w:rPr>
          <w:rFonts w:ascii="Arial" w:hAnsi="Arial" w:cs="Arial"/>
          <w:sz w:val="20"/>
          <w:szCs w:val="20"/>
        </w:rPr>
        <w:t>We explored whether bias in the inferences was inherent to structural identifiability</w:t>
      </w:r>
      <w:ins w:id="10" w:author="Cascante Vega, Jaime E." w:date="2023-04-27T13:16:00Z">
        <w:r w:rsidR="006F2D38">
          <w:rPr>
            <w:rFonts w:ascii="Arial" w:hAnsi="Arial" w:cs="Arial"/>
            <w:sz w:val="20"/>
            <w:szCs w:val="20"/>
          </w:rPr>
          <w:t xml:space="preserve"> </w:t>
        </w:r>
      </w:ins>
      <w:r w:rsidR="006F2D38">
        <w:rPr>
          <w:rFonts w:ascii="Arial" w:hAnsi="Arial" w:cs="Arial"/>
          <w:sz w:val="20"/>
          <w:szCs w:val="20"/>
        </w:rPr>
        <w:fldChar w:fldCharType="begin"/>
      </w:r>
      <w:r w:rsidR="00697AC4">
        <w:rPr>
          <w:rFonts w:ascii="Arial" w:hAnsi="Arial" w:cs="Arial"/>
          <w:sz w:val="20"/>
          <w:szCs w:val="20"/>
        </w:rPr>
        <w:instrText xml:space="preserve"> ADDIN ZOTERO_ITEM CSL_CITATION {"citationID":"a2ohhd2bj5j","properties":{"formattedCitation":"\\super 29\\nosupersub{}","plainCitation":"29","noteIndex":0},"citationItems":[{"id":426,"uris":["http://zotero.org/users/9551388/items/9PYZS3I5"],"itemData":{"id":426,"type":"article-journal","abstract":"We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6F2D38">
        <w:rPr>
          <w:rFonts w:ascii="Arial" w:hAnsi="Arial" w:cs="Arial"/>
          <w:sz w:val="20"/>
          <w:szCs w:val="20"/>
        </w:rPr>
        <w:fldChar w:fldCharType="separate"/>
      </w:r>
      <w:r w:rsidR="00697AC4" w:rsidRPr="00697AC4">
        <w:rPr>
          <w:rFonts w:ascii="Arial" w:hAnsi="Arial" w:cs="Arial"/>
          <w:sz w:val="20"/>
          <w:vertAlign w:val="superscript"/>
          <w:lang w:val="en-GB"/>
        </w:rPr>
        <w:t>29</w:t>
      </w:r>
      <w:r w:rsidR="006F2D38">
        <w:rPr>
          <w:rFonts w:ascii="Arial" w:hAnsi="Arial" w:cs="Arial"/>
          <w:sz w:val="20"/>
          <w:szCs w:val="20"/>
        </w:rPr>
        <w:fldChar w:fldCharType="end"/>
      </w:r>
      <w:r w:rsidR="00A8536A">
        <w:rPr>
          <w:rFonts w:ascii="Arial" w:hAnsi="Arial" w:cs="Arial"/>
          <w:sz w:val="20"/>
          <w:szCs w:val="20"/>
        </w:rPr>
        <w:t xml:space="preserve"> or caused by Monte Carlo error</w:t>
      </w:r>
      <w:ins w:id="11" w:author="Cascante Vega, Jaime E." w:date="2023-04-27T16:50:00Z">
        <w:r w:rsidR="004B7551">
          <w:rPr>
            <w:rFonts w:ascii="Arial" w:hAnsi="Arial" w:cs="Arial"/>
            <w:sz w:val="20"/>
            <w:szCs w:val="20"/>
          </w:rPr>
          <w:t xml:space="preserve"> </w:t>
        </w:r>
      </w:ins>
      <w:r w:rsidR="004B7551">
        <w:rPr>
          <w:rFonts w:ascii="Arial" w:hAnsi="Arial" w:cs="Arial"/>
          <w:sz w:val="20"/>
          <w:szCs w:val="20"/>
        </w:rPr>
        <w:fldChar w:fldCharType="begin"/>
      </w:r>
      <w:r w:rsidR="00697AC4">
        <w:rPr>
          <w:rFonts w:ascii="Arial" w:hAnsi="Arial" w:cs="Arial"/>
          <w:sz w:val="20"/>
          <w:szCs w:val="20"/>
        </w:rPr>
        <w:instrText xml:space="preserve"> ADDIN ZOTERO_ITEM CSL_CITATION {"citationID":"amso8q6cfk","properties":{"formattedCitation":"\\super 33\\nosupersub{}","plainCitation":"33","noteIndex":0},"citationItems":[{"id":203,"uris":["http://zotero.org/users/9551388/items/EQB5FSRS"],"itemData":{"id":203,"type":"article-journal","abstract":"Monte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4B7551">
        <w:rPr>
          <w:rFonts w:ascii="Arial" w:hAnsi="Arial" w:cs="Arial"/>
          <w:sz w:val="20"/>
          <w:szCs w:val="20"/>
        </w:rPr>
        <w:fldChar w:fldCharType="separate"/>
      </w:r>
      <w:r w:rsidR="00697AC4" w:rsidRPr="00697AC4">
        <w:rPr>
          <w:rFonts w:ascii="Arial" w:hAnsi="Arial" w:cs="Arial"/>
          <w:sz w:val="20"/>
          <w:vertAlign w:val="superscript"/>
          <w:lang w:val="en-GB"/>
        </w:rPr>
        <w:t>33</w:t>
      </w:r>
      <w:r w:rsidR="004B7551">
        <w:rPr>
          <w:rFonts w:ascii="Arial" w:hAnsi="Arial" w:cs="Arial"/>
          <w:sz w:val="20"/>
          <w:szCs w:val="20"/>
        </w:rPr>
        <w:fldChar w:fldCharType="end"/>
      </w:r>
      <w:r w:rsidR="00A8536A">
        <w:rPr>
          <w:rFonts w:ascii="Arial" w:hAnsi="Arial" w:cs="Arial"/>
          <w:sz w:val="20"/>
          <w:szCs w:val="20"/>
        </w:rPr>
        <w:t xml:space="preserve">. </w:t>
      </w:r>
      <w:r w:rsidR="00D744E8">
        <w:rPr>
          <w:rFonts w:ascii="Arial" w:hAnsi="Arial" w:cs="Arial"/>
          <w:sz w:val="20"/>
          <w:szCs w:val="20"/>
        </w:rPr>
        <w:t>We used 3 different values for the importation rates</w:t>
      </w:r>
      <w:r w:rsidR="00423CC5">
        <w:rPr>
          <w:rFonts w:ascii="Arial" w:hAnsi="Arial" w:cs="Arial"/>
          <w:sz w:val="20"/>
          <w:szCs w:val="20"/>
        </w:rPr>
        <w:t xml:space="preserve"> to </w:t>
      </w:r>
      <w:r w:rsidR="00720DDF">
        <w:rPr>
          <w:rFonts w:ascii="Arial" w:hAnsi="Arial" w:cs="Arial"/>
          <w:sz w:val="20"/>
          <w:szCs w:val="20"/>
        </w:rPr>
        <w:t xml:space="preserve">both </w:t>
      </w:r>
      <w:r w:rsidR="00423CC5">
        <w:rPr>
          <w:rFonts w:ascii="Arial" w:hAnsi="Arial" w:cs="Arial"/>
          <w:sz w:val="20"/>
          <w:szCs w:val="20"/>
        </w:rPr>
        <w:t>account for the</w:t>
      </w:r>
      <w:r w:rsidR="00D744E8">
        <w:rPr>
          <w:rFonts w:ascii="Arial" w:hAnsi="Arial" w:cs="Arial"/>
          <w:sz w:val="20"/>
          <w:szCs w:val="20"/>
        </w:rPr>
        <w:t xml:space="preserve"> </w:t>
      </w:r>
      <w:r w:rsidR="008C00CA">
        <w:rPr>
          <w:rFonts w:ascii="Arial" w:hAnsi="Arial" w:cs="Arial"/>
          <w:sz w:val="20"/>
          <w:szCs w:val="20"/>
        </w:rPr>
        <w:t xml:space="preserve">uncertainty </w:t>
      </w:r>
      <w:r w:rsidR="00AF5E14">
        <w:rPr>
          <w:rFonts w:ascii="Arial" w:hAnsi="Arial" w:cs="Arial"/>
          <w:sz w:val="20"/>
          <w:szCs w:val="20"/>
        </w:rPr>
        <w:t>in prevalence</w:t>
      </w:r>
      <w:r w:rsidR="008C00CA">
        <w:rPr>
          <w:rFonts w:ascii="Arial" w:hAnsi="Arial" w:cs="Arial"/>
          <w:sz w:val="20"/>
          <w:szCs w:val="20"/>
        </w:rPr>
        <w:t xml:space="preserve"> </w:t>
      </w:r>
      <w:r w:rsidR="00720DDF">
        <w:rPr>
          <w:rFonts w:ascii="Arial" w:hAnsi="Arial" w:cs="Arial"/>
          <w:sz w:val="20"/>
          <w:szCs w:val="20"/>
        </w:rPr>
        <w:t>and to</w:t>
      </w:r>
      <w:r w:rsidR="008C00CA">
        <w:rPr>
          <w:rFonts w:ascii="Arial" w:hAnsi="Arial" w:cs="Arial"/>
          <w:sz w:val="20"/>
          <w:szCs w:val="20"/>
        </w:rPr>
        <w:t xml:space="preserve"> study the sensitivity of the model-inference constr</w:t>
      </w:r>
      <w:r w:rsidR="00423CC5">
        <w:rPr>
          <w:rFonts w:ascii="Arial" w:hAnsi="Arial" w:cs="Arial"/>
          <w:sz w:val="20"/>
          <w:szCs w:val="20"/>
        </w:rPr>
        <w:t>u</w:t>
      </w:r>
      <w:r w:rsidR="008C00CA">
        <w:rPr>
          <w:rFonts w:ascii="Arial" w:hAnsi="Arial" w:cs="Arial"/>
          <w:sz w:val="20"/>
          <w:szCs w:val="20"/>
        </w:rPr>
        <w:t xml:space="preserve">ct to </w:t>
      </w:r>
      <w:r w:rsidR="00CC039C">
        <w:rPr>
          <w:rFonts w:ascii="Arial" w:hAnsi="Arial" w:cs="Arial"/>
          <w:sz w:val="20"/>
          <w:szCs w:val="20"/>
        </w:rPr>
        <w:t>th</w:t>
      </w:r>
      <w:r w:rsidR="004B7551">
        <w:rPr>
          <w:rFonts w:ascii="Arial" w:hAnsi="Arial" w:cs="Arial"/>
          <w:sz w:val="20"/>
          <w:szCs w:val="20"/>
        </w:rPr>
        <w:t>is</w:t>
      </w:r>
      <w:r w:rsidR="008C00CA">
        <w:rPr>
          <w:rFonts w:ascii="Arial" w:hAnsi="Arial" w:cs="Arial"/>
          <w:sz w:val="20"/>
          <w:szCs w:val="20"/>
        </w:rPr>
        <w:t xml:space="preserve"> parameter. </w:t>
      </w:r>
    </w:p>
    <w:p w14:paraId="559081B1" w14:textId="05B58251" w:rsidR="00423CC5" w:rsidRDefault="006D723C" w:rsidP="00375E79">
      <w:pPr>
        <w:spacing w:line="360" w:lineRule="auto"/>
        <w:jc w:val="both"/>
        <w:rPr>
          <w:rFonts w:ascii="Arial" w:hAnsi="Arial" w:cs="Arial"/>
          <w:sz w:val="20"/>
          <w:szCs w:val="20"/>
        </w:rPr>
      </w:pPr>
      <w:r>
        <w:rPr>
          <w:rFonts w:ascii="Arial" w:hAnsi="Arial" w:cs="Arial"/>
          <w:sz w:val="20"/>
          <w:szCs w:val="20"/>
        </w:rPr>
        <w:t xml:space="preserve">As suggested in (cite) host-to-host transmission is </w:t>
      </w:r>
      <w:r w:rsidR="00407F9C">
        <w:rPr>
          <w:rFonts w:ascii="Arial" w:hAnsi="Arial" w:cs="Arial"/>
          <w:sz w:val="20"/>
          <w:szCs w:val="20"/>
        </w:rPr>
        <w:t xml:space="preserve">thougth to be low </w:t>
      </w:r>
    </w:p>
    <w:p w14:paraId="5DCF2D18" w14:textId="02700ED9" w:rsidR="00154996" w:rsidRPr="00FD368C" w:rsidRDefault="00154996" w:rsidP="006D723C">
      <w:pPr>
        <w:spacing w:line="360" w:lineRule="auto"/>
        <w:jc w:val="both"/>
        <w:rPr>
          <w:rFonts w:ascii="Arial" w:hAnsi="Arial" w:cs="Arial"/>
          <w:sz w:val="20"/>
          <w:szCs w:val="20"/>
        </w:rPr>
      </w:pP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Results</w:t>
      </w:r>
      <w:bookmarkStart w:id="12" w:name="_Hlk120132095"/>
    </w:p>
    <w:p w14:paraId="0F9DCA8E" w14:textId="4BBB6C7D"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CF77B0">
        <w:rPr>
          <w:i/>
          <w:iCs/>
          <w:sz w:val="20"/>
          <w:szCs w:val="20"/>
          <w:lang w:val="en-US"/>
        </w:rPr>
        <w:t>microorganism</w:t>
      </w:r>
      <w:r w:rsidR="00CF77B0" w:rsidRPr="00496FEB">
        <w:rPr>
          <w:i/>
          <w:iCs/>
          <w:sz w:val="20"/>
          <w:szCs w:val="20"/>
          <w:lang w:val="en-US"/>
        </w:rPr>
        <w:t xml:space="preserve"> </w:t>
      </w:r>
      <w:r w:rsidRPr="00496FEB">
        <w:rPr>
          <w:i/>
          <w:iCs/>
          <w:sz w:val="20"/>
          <w:szCs w:val="20"/>
          <w:lang w:val="en-US"/>
        </w:rPr>
        <w:t>burden</w:t>
      </w:r>
    </w:p>
    <w:bookmarkEnd w:id="12"/>
    <w:p w14:paraId="308267D7" w14:textId="5F75B9F4"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w:t>
      </w:r>
      <w:r w:rsidR="00681C0C">
        <w:rPr>
          <w:rFonts w:ascii="Arial" w:hAnsi="Arial" w:cs="Arial"/>
          <w:sz w:val="20"/>
          <w:szCs w:val="20"/>
        </w:rPr>
        <w:t>weekly</w:t>
      </w:r>
      <w:r w:rsidR="00681C0C" w:rsidRPr="001331B3">
        <w:rPr>
          <w:rFonts w:ascii="Arial" w:hAnsi="Arial" w:cs="Arial"/>
          <w:sz w:val="20"/>
          <w:szCs w:val="20"/>
        </w:rPr>
        <w:t xml:space="preserve"> </w:t>
      </w:r>
      <w:r w:rsidRPr="001331B3">
        <w:rPr>
          <w:rFonts w:ascii="Arial" w:hAnsi="Arial" w:cs="Arial"/>
          <w:sz w:val="20"/>
          <w:szCs w:val="20"/>
        </w:rPr>
        <w:t xml:space="preserve">incidence </w:t>
      </w:r>
      <w:r w:rsidR="00681C0C">
        <w:rPr>
          <w:rFonts w:ascii="Arial" w:hAnsi="Arial" w:cs="Arial"/>
          <w:sz w:val="20"/>
          <w:szCs w:val="20"/>
        </w:rPr>
        <w:t xml:space="preserve">color coded </w:t>
      </w:r>
      <w:r w:rsidRPr="001331B3">
        <w:rPr>
          <w:rFonts w:ascii="Arial" w:hAnsi="Arial" w:cs="Arial"/>
          <w:sz w:val="20"/>
          <w:szCs w:val="20"/>
        </w:rPr>
        <w:t xml:space="preserve">by </w:t>
      </w:r>
      <w:r w:rsidR="00681C0C">
        <w:rPr>
          <w:rFonts w:ascii="Arial" w:hAnsi="Arial" w:cs="Arial"/>
          <w:sz w:val="20"/>
          <w:szCs w:val="20"/>
        </w:rPr>
        <w:t>building</w:t>
      </w:r>
      <w:r w:rsidRPr="001331B3">
        <w:rPr>
          <w:rFonts w:ascii="Arial" w:hAnsi="Arial" w:cs="Arial"/>
          <w:sz w:val="20"/>
          <w:szCs w:val="20"/>
        </w:rPr>
        <w:t xml:space="preserve"> for </w:t>
      </w:r>
      <w:r w:rsidRPr="00ED640F">
        <w:rPr>
          <w:rFonts w:ascii="Arial" w:hAnsi="Arial" w:cs="Arial"/>
          <w:i/>
          <w:iCs/>
          <w:sz w:val="20"/>
          <w:szCs w:val="20"/>
        </w:rPr>
        <w:t>E. coli</w:t>
      </w:r>
      <w:r w:rsidRPr="001331B3">
        <w:rPr>
          <w:rFonts w:ascii="Arial" w:hAnsi="Arial" w:cs="Arial"/>
          <w:sz w:val="20"/>
          <w:szCs w:val="20"/>
        </w:rPr>
        <w:t xml:space="preserve"> (total positives cultures, n=), </w:t>
      </w:r>
      <w:r w:rsidRPr="00ED640F">
        <w:rPr>
          <w:rFonts w:ascii="Arial" w:hAnsi="Arial" w:cs="Arial"/>
          <w:i/>
          <w:iCs/>
          <w:sz w:val="20"/>
          <w:szCs w:val="20"/>
        </w:rPr>
        <w:t>K. pneumoniae</w:t>
      </w:r>
      <w:r w:rsidRPr="001331B3">
        <w:rPr>
          <w:rFonts w:ascii="Arial" w:hAnsi="Arial" w:cs="Arial"/>
          <w:sz w:val="20"/>
          <w:szCs w:val="20"/>
        </w:rPr>
        <w:t xml:space="preserve"> (n=), </w:t>
      </w:r>
      <w:r w:rsidRPr="00ED640F">
        <w:rPr>
          <w:rFonts w:ascii="Arial" w:hAnsi="Arial" w:cs="Arial"/>
          <w:i/>
          <w:iCs/>
          <w:sz w:val="20"/>
          <w:szCs w:val="20"/>
        </w:rPr>
        <w:t xml:space="preserve">P. aeruginosa </w:t>
      </w:r>
      <w:r w:rsidRPr="001331B3">
        <w:rPr>
          <w:rFonts w:ascii="Arial" w:hAnsi="Arial" w:cs="Arial"/>
          <w:sz w:val="20"/>
          <w:szCs w:val="20"/>
        </w:rPr>
        <w:t xml:space="preserve">(n=), MSSA (n=), MRSA (n=), </w:t>
      </w:r>
      <w:r w:rsidRPr="00ED640F">
        <w:rPr>
          <w:rFonts w:ascii="Arial" w:hAnsi="Arial" w:cs="Arial"/>
          <w:i/>
          <w:iCs/>
          <w:sz w:val="20"/>
          <w:szCs w:val="20"/>
        </w:rPr>
        <w:t>S. epidermidis</w:t>
      </w:r>
      <w:r w:rsidRPr="001331B3">
        <w:rPr>
          <w:rFonts w:ascii="Arial" w:hAnsi="Arial" w:cs="Arial"/>
          <w:sz w:val="20"/>
          <w:szCs w:val="20"/>
        </w:rPr>
        <w:t xml:space="preserve"> (n=), </w:t>
      </w:r>
      <w:r w:rsidRPr="00ED640F">
        <w:rPr>
          <w:rFonts w:ascii="Arial" w:hAnsi="Arial" w:cs="Arial"/>
          <w:i/>
          <w:iCs/>
          <w:sz w:val="20"/>
          <w:szCs w:val="20"/>
        </w:rPr>
        <w:t>E. faecalis</w:t>
      </w:r>
      <w:r w:rsidRPr="001331B3">
        <w:rPr>
          <w:rFonts w:ascii="Arial" w:hAnsi="Arial" w:cs="Arial"/>
          <w:sz w:val="20"/>
          <w:szCs w:val="20"/>
        </w:rPr>
        <w:t xml:space="preserve"> (n=)</w:t>
      </w:r>
      <w:r w:rsidR="0059670D">
        <w:rPr>
          <w:rFonts w:ascii="Arial" w:hAnsi="Arial" w:cs="Arial"/>
          <w:sz w:val="20"/>
          <w:szCs w:val="20"/>
        </w:rPr>
        <w:t xml:space="preserve"> and </w:t>
      </w:r>
      <w:r w:rsidR="0059670D">
        <w:rPr>
          <w:rFonts w:ascii="Arial" w:hAnsi="Arial" w:cs="Arial"/>
          <w:i/>
          <w:iCs/>
          <w:sz w:val="20"/>
          <w:szCs w:val="20"/>
        </w:rPr>
        <w:t>E. faecium</w:t>
      </w:r>
      <w:r w:rsidR="00EF6003">
        <w:rPr>
          <w:rFonts w:ascii="Arial" w:hAnsi="Arial" w:cs="Arial"/>
          <w:i/>
          <w:iCs/>
          <w:sz w:val="20"/>
          <w:szCs w:val="20"/>
        </w:rPr>
        <w:t xml:space="preserve"> (n=)</w:t>
      </w:r>
      <w:r w:rsidR="0059670D">
        <w:rPr>
          <w:rFonts w:ascii="Arial" w:hAnsi="Arial" w:cs="Arial"/>
          <w:sz w:val="20"/>
          <w:szCs w:val="20"/>
        </w:rPr>
        <w:t xml:space="preserve"> </w:t>
      </w:r>
      <w:r w:rsidRPr="001331B3">
        <w:rPr>
          <w:rFonts w:ascii="Arial" w:hAnsi="Arial" w:cs="Arial"/>
          <w:sz w:val="20"/>
          <w:szCs w:val="20"/>
        </w:rPr>
        <w:t>.</w:t>
      </w:r>
      <w:r>
        <w:rPr>
          <w:rFonts w:ascii="Arial" w:hAnsi="Arial" w:cs="Arial"/>
          <w:sz w:val="20"/>
          <w:szCs w:val="20"/>
        </w:rPr>
        <w:t xml:space="preserve"> </w:t>
      </w:r>
      <w:r w:rsidR="00E6790E">
        <w:rPr>
          <w:rFonts w:ascii="Arial" w:hAnsi="Arial" w:cs="Arial"/>
          <w:sz w:val="20"/>
          <w:szCs w:val="20"/>
        </w:rPr>
        <w:t xml:space="preserve">We deduplicated </w:t>
      </w:r>
      <w:r w:rsidR="003F1101">
        <w:rPr>
          <w:rFonts w:ascii="Arial" w:hAnsi="Arial" w:cs="Arial"/>
          <w:sz w:val="20"/>
          <w:szCs w:val="20"/>
        </w:rPr>
        <w:t>multiple</w:t>
      </w:r>
      <w:r w:rsidR="00E6790E">
        <w:rPr>
          <w:rFonts w:ascii="Arial" w:hAnsi="Arial" w:cs="Arial"/>
          <w:sz w:val="20"/>
          <w:szCs w:val="20"/>
        </w:rPr>
        <w:t xml:space="preserve"> positives results during a patient visit</w:t>
      </w:r>
      <w:r w:rsidR="003F1101">
        <w:rPr>
          <w:rFonts w:ascii="Arial" w:hAnsi="Arial" w:cs="Arial"/>
          <w:sz w:val="20"/>
          <w:szCs w:val="20"/>
        </w:rPr>
        <w:t>, and consistently deduplicated multiple tests in the observational model</w:t>
      </w:r>
      <w:r w:rsidR="00E6790E">
        <w:rPr>
          <w:rFonts w:ascii="Arial" w:hAnsi="Arial" w:cs="Arial"/>
          <w:sz w:val="20"/>
          <w:szCs w:val="20"/>
        </w:rPr>
        <w:t xml:space="preserve">. </w:t>
      </w:r>
      <w:r w:rsidR="005E4095">
        <w:rPr>
          <w:rFonts w:ascii="Arial" w:hAnsi="Arial" w:cs="Arial"/>
          <w:sz w:val="20"/>
          <w:szCs w:val="20"/>
        </w:rPr>
        <w:t xml:space="preserve">During the study period, the daily number of </w:t>
      </w:r>
      <w:r w:rsidR="00E6790E">
        <w:rPr>
          <w:rFonts w:ascii="Arial" w:hAnsi="Arial" w:cs="Arial"/>
          <w:sz w:val="20"/>
          <w:szCs w:val="20"/>
        </w:rPr>
        <w:t>hospitalized patients</w:t>
      </w:r>
      <w:r w:rsidR="005E4095">
        <w:rPr>
          <w:rFonts w:ascii="Arial" w:hAnsi="Arial" w:cs="Arial"/>
          <w:sz w:val="20"/>
          <w:szCs w:val="20"/>
        </w:rPr>
        <w:t xml:space="preserve"> fluctuated between 1,000 and 2,500</w:t>
      </w:r>
      <w:r w:rsidR="00AE5082">
        <w:rPr>
          <w:rFonts w:ascii="Arial" w:hAnsi="Arial" w:cs="Arial"/>
          <w:sz w:val="20"/>
          <w:szCs w:val="20"/>
        </w:rPr>
        <w:t xml:space="preserve"> with most of the variation explained by differences in </w:t>
      </w:r>
      <w:r w:rsidR="009D3121">
        <w:rPr>
          <w:rFonts w:ascii="Arial" w:hAnsi="Arial" w:cs="Arial"/>
          <w:sz w:val="20"/>
          <w:szCs w:val="20"/>
        </w:rPr>
        <w:t xml:space="preserve">the </w:t>
      </w:r>
      <w:r w:rsidR="00AE5082">
        <w:rPr>
          <w:rFonts w:ascii="Arial" w:hAnsi="Arial" w:cs="Arial"/>
          <w:sz w:val="20"/>
          <w:szCs w:val="20"/>
        </w:rPr>
        <w:t>day of the week (See solid line for daily and dashed line for weekly in Figure 1B)</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w:t>
      </w:r>
      <w:r w:rsidR="00BD5857">
        <w:rPr>
          <w:rFonts w:ascii="Arial" w:hAnsi="Arial" w:cs="Arial"/>
          <w:sz w:val="20"/>
          <w:szCs w:val="20"/>
        </w:rPr>
        <w:t xml:space="preserve"> </w:t>
      </w:r>
      <w:r w:rsidR="005E4095">
        <w:rPr>
          <w:rFonts w:ascii="Arial" w:hAnsi="Arial" w:cs="Arial"/>
          <w:sz w:val="20"/>
          <w:szCs w:val="20"/>
        </w:rPr>
        <w:t>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was heterogeneous (</w:t>
      </w:r>
      <w:r w:rsidR="0038158A">
        <w:rPr>
          <w:rFonts w:ascii="Arial" w:hAnsi="Arial" w:cs="Arial"/>
          <w:sz w:val="20"/>
          <w:szCs w:val="20"/>
        </w:rPr>
        <w:t xml:space="preserve">SI </w:t>
      </w:r>
      <w:r w:rsidR="005E4095">
        <w:rPr>
          <w:rFonts w:ascii="Arial" w:hAnsi="Arial" w:cs="Arial"/>
          <w:sz w:val="20"/>
          <w:szCs w:val="20"/>
        </w:rPr>
        <w:t>Fig</w:t>
      </w:r>
      <w:r w:rsidR="0038158A">
        <w:rPr>
          <w:rFonts w:ascii="Arial" w:hAnsi="Arial" w:cs="Arial"/>
          <w:sz w:val="20"/>
          <w:szCs w:val="20"/>
        </w:rPr>
        <w:t>ure</w:t>
      </w:r>
      <w:r w:rsidR="005E4095">
        <w:rPr>
          <w:rFonts w:ascii="Arial" w:hAnsi="Arial" w:cs="Arial"/>
          <w:sz w:val="20"/>
          <w:szCs w:val="20"/>
        </w:rPr>
        <w:t xml:space="preserve">. </w:t>
      </w:r>
      <w:r w:rsidR="006A0BFF">
        <w:rPr>
          <w:rFonts w:ascii="Arial" w:hAnsi="Arial" w:cs="Arial"/>
          <w:sz w:val="20"/>
          <w:szCs w:val="20"/>
        </w:rPr>
        <w:t>S</w:t>
      </w:r>
      <w:r w:rsidR="00ED710F">
        <w:rPr>
          <w:rFonts w:ascii="Arial" w:hAnsi="Arial" w:cs="Arial"/>
          <w:sz w:val="20"/>
          <w:szCs w:val="20"/>
        </w:rPr>
        <w:t>4</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an occupancy below 10 patients</w:t>
      </w:r>
      <w:del w:id="13" w:author="Cascante Vega, Jaime E." w:date="2023-04-27T12:51:00Z">
        <w:r w:rsidR="005E4095" w:rsidDel="00DB5F34">
          <w:rPr>
            <w:rFonts w:ascii="Arial" w:hAnsi="Arial" w:cs="Arial"/>
            <w:sz w:val="20"/>
            <w:szCs w:val="20"/>
          </w:rPr>
          <w:delText xml:space="preserve">. </w:delText>
        </w:r>
        <w:r w:rsidR="00AE77B1" w:rsidDel="00DB5F34">
          <w:rPr>
            <w:rFonts w:ascii="Arial" w:hAnsi="Arial" w:cs="Arial"/>
            <w:sz w:val="20"/>
            <w:szCs w:val="20"/>
          </w:rPr>
          <w:delText>We fitted a power-law</w:delText>
        </w:r>
        <w:r w:rsidR="00790332" w:rsidDel="00DB5F34">
          <w:rPr>
            <w:rFonts w:ascii="Arial" w:hAnsi="Arial" w:cs="Arial"/>
            <w:sz w:val="20"/>
            <w:szCs w:val="20"/>
          </w:rPr>
          <w:delText xml:space="preserve"> </w:delText>
        </w:r>
        <w:r w:rsidR="00AE77B1" w:rsidDel="00DB5F34">
          <w:rPr>
            <w:rFonts w:ascii="Arial" w:hAnsi="Arial" w:cs="Arial"/>
            <w:sz w:val="20"/>
            <w:szCs w:val="20"/>
          </w:rPr>
          <w:delText xml:space="preserve">distribution and obtained the mean ward size was </w:delText>
        </w:r>
      </w:del>
      <w:r w:rsidR="00AE77B1">
        <w:rPr>
          <w:rFonts w:ascii="Arial" w:hAnsi="Arial" w:cs="Arial"/>
          <w:sz w:val="20"/>
          <w:szCs w:val="20"/>
        </w:rPr>
        <w:t xml:space="preserve">. </w:t>
      </w:r>
      <w:r w:rsidR="005E4095">
        <w:rPr>
          <w:rFonts w:ascii="Arial" w:hAnsi="Arial" w:cs="Arial"/>
          <w:sz w:val="20"/>
          <w:szCs w:val="20"/>
        </w:rPr>
        <w:t>However, a few wards (e.g., emergency rooms) could admit over 100 patients each day</w:t>
      </w:r>
      <w:r w:rsidR="00AE5082">
        <w:rPr>
          <w:rFonts w:ascii="Arial" w:hAnsi="Arial" w:cs="Arial"/>
          <w:sz w:val="20"/>
          <w:szCs w:val="20"/>
        </w:rPr>
        <w:t>.</w:t>
      </w:r>
      <w:r w:rsidR="005E4095">
        <w:rPr>
          <w:rFonts w:ascii="Arial" w:hAnsi="Arial" w:cs="Arial"/>
          <w:sz w:val="20"/>
          <w:szCs w:val="20"/>
        </w:rPr>
        <w:t xml:space="preserve"> 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 xml:space="preserve">C shows the </w:t>
      </w:r>
      <w:r w:rsidR="009F166D">
        <w:rPr>
          <w:rFonts w:ascii="Arial" w:hAnsi="Arial" w:cs="Arial"/>
          <w:sz w:val="20"/>
          <w:szCs w:val="20"/>
        </w:rPr>
        <w:t xml:space="preserve">weekly </w:t>
      </w:r>
      <w:r w:rsidR="005E4095">
        <w:rPr>
          <w:rFonts w:ascii="Arial" w:hAnsi="Arial" w:cs="Arial"/>
          <w:sz w:val="20"/>
          <w:szCs w:val="20"/>
        </w:rPr>
        <w:t xml:space="preserve">number of patients relative to average occupancy for each ward and highlights the </w:t>
      </w:r>
      <w:r w:rsidR="00AE5082">
        <w:rPr>
          <w:rFonts w:ascii="Arial" w:hAnsi="Arial" w:cs="Arial"/>
          <w:sz w:val="20"/>
          <w:szCs w:val="20"/>
        </w:rPr>
        <w:t>5</w:t>
      </w:r>
      <w:r w:rsidR="005E4095">
        <w:rPr>
          <w:rFonts w:ascii="Arial" w:hAnsi="Arial" w:cs="Arial"/>
          <w:sz w:val="20"/>
          <w:szCs w:val="20"/>
        </w:rPr>
        <w:t xml:space="preserve"> most and least populated wards</w:t>
      </w:r>
      <w:r w:rsidR="00AE5082">
        <w:rPr>
          <w:rFonts w:ascii="Arial" w:hAnsi="Arial" w:cs="Arial"/>
          <w:sz w:val="20"/>
          <w:szCs w:val="20"/>
        </w:rPr>
        <w:t xml:space="preserve"> (see red and blue lines respectively)</w:t>
      </w:r>
      <w:r w:rsidR="00D94E29">
        <w:rPr>
          <w:rFonts w:ascii="Arial" w:hAnsi="Arial" w:cs="Arial"/>
          <w:sz w:val="20"/>
          <w:szCs w:val="20"/>
        </w:rPr>
        <w:t>; we</w:t>
      </w:r>
      <w:r w:rsidR="00E05CC3">
        <w:rPr>
          <w:rFonts w:ascii="Arial" w:hAnsi="Arial" w:cs="Arial"/>
          <w:sz w:val="20"/>
          <w:szCs w:val="20"/>
        </w:rPr>
        <w:t xml:space="preserve"> only included wards with sizes greater than one</w:t>
      </w:r>
      <w:r w:rsidR="00AE77B1">
        <w:rPr>
          <w:rFonts w:ascii="Arial" w:hAnsi="Arial" w:cs="Arial"/>
          <w:sz w:val="20"/>
          <w:szCs w:val="20"/>
        </w:rPr>
        <w:t xml:space="preserve"> for better visualization</w:t>
      </w:r>
      <w:r w:rsidR="005E4095">
        <w:rPr>
          <w:rFonts w:ascii="Arial" w:hAnsi="Arial" w:cs="Arial"/>
          <w:sz w:val="20"/>
          <w:szCs w:val="20"/>
        </w:rPr>
        <w:t>. The least populated wards were empty most of the time</w:t>
      </w:r>
      <w:r w:rsidR="00E05CC3">
        <w:rPr>
          <w:rFonts w:ascii="Arial" w:hAnsi="Arial" w:cs="Arial"/>
          <w:sz w:val="20"/>
          <w:szCs w:val="20"/>
        </w:rPr>
        <w:t xml:space="preserve"> with </w:t>
      </w:r>
      <w:r w:rsidR="00AE5082">
        <w:rPr>
          <w:rFonts w:ascii="Arial" w:hAnsi="Arial" w:cs="Arial"/>
          <w:sz w:val="20"/>
          <w:szCs w:val="20"/>
        </w:rPr>
        <w:t>irregular</w:t>
      </w:r>
      <w:r w:rsidR="00E05CC3">
        <w:rPr>
          <w:rFonts w:ascii="Arial" w:hAnsi="Arial" w:cs="Arial"/>
          <w:sz w:val="20"/>
          <w:szCs w:val="20"/>
        </w:rPr>
        <w:t xml:space="preserve">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r w:rsidR="00AE5082">
        <w:rPr>
          <w:rFonts w:ascii="Arial" w:hAnsi="Arial" w:cs="Arial"/>
          <w:sz w:val="20"/>
          <w:szCs w:val="20"/>
        </w:rPr>
        <w:t>hospitalizations</w:t>
      </w:r>
      <w:r w:rsidR="005E4095">
        <w:rPr>
          <w:rFonts w:ascii="Arial" w:hAnsi="Arial" w:cs="Arial"/>
          <w:sz w:val="20"/>
          <w:szCs w:val="20"/>
        </w:rPr>
        <w:t xml:space="preserve">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in-hospital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ins w:id="14" w:author="Cascante Vega, Jaime E." w:date="2023-04-27T12:52:00Z">
        <w:r w:rsidR="00DB5F34">
          <w:rPr>
            <w:rFonts w:ascii="Arial" w:hAnsi="Arial" w:cs="Arial"/>
            <w:sz w:val="20"/>
            <w:szCs w:val="20"/>
          </w:rPr>
          <w:t xml:space="preserve">SI </w:t>
        </w:r>
      </w:ins>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r w:rsidR="00625E23">
        <w:rPr>
          <w:rFonts w:ascii="Arial" w:hAnsi="Arial" w:cs="Arial"/>
          <w:sz w:val="20"/>
          <w:szCs w:val="20"/>
        </w:rPr>
        <w:t xml:space="preserve"> </w:t>
      </w:r>
      <w:r w:rsidR="001B35D9">
        <w:rPr>
          <w:rFonts w:ascii="Arial" w:hAnsi="Arial" w:cs="Arial"/>
          <w:sz w:val="20"/>
          <w:szCs w:val="20"/>
        </w:rPr>
        <w:t xml:space="preserve">Clinical culture </w:t>
      </w:r>
      <w:r w:rsidR="005E4095">
        <w:rPr>
          <w:rFonts w:ascii="Arial" w:hAnsi="Arial" w:cs="Arial"/>
          <w:sz w:val="20"/>
          <w:szCs w:val="20"/>
        </w:rPr>
        <w:t>numbers were also heterogeneous across wards. Most cultures were sampled from a small subset of wards, as shown by the weekly number of cultures collected in each (</w:t>
      </w:r>
      <w:r w:rsidR="00FF00A6">
        <w:rPr>
          <w:rFonts w:ascii="Arial" w:hAnsi="Arial" w:cs="Arial"/>
          <w:sz w:val="20"/>
          <w:szCs w:val="20"/>
        </w:rPr>
        <w:t xml:space="preserve">see </w:t>
      </w:r>
      <w:r w:rsidR="005E4095">
        <w:rPr>
          <w:rFonts w:ascii="Arial" w:hAnsi="Arial" w:cs="Arial"/>
          <w:sz w:val="20"/>
          <w:szCs w:val="20"/>
        </w:rPr>
        <w:t xml:space="preserve">Fig. </w:t>
      </w:r>
      <w:r w:rsidR="006A0BFF">
        <w:rPr>
          <w:rFonts w:ascii="Arial" w:hAnsi="Arial" w:cs="Arial"/>
          <w:sz w:val="20"/>
          <w:szCs w:val="20"/>
        </w:rPr>
        <w:t>1</w:t>
      </w:r>
      <w:r w:rsidR="005E4095">
        <w:rPr>
          <w:rFonts w:ascii="Arial" w:hAnsi="Arial" w:cs="Arial"/>
          <w:sz w:val="20"/>
          <w:szCs w:val="20"/>
        </w:rPr>
        <w:t>D).</w:t>
      </w:r>
    </w:p>
    <w:p w14:paraId="258DDBCA" w14:textId="48B1D3E0" w:rsidR="005E4095" w:rsidRDefault="00F60D76" w:rsidP="00AF2500">
      <w:pPr>
        <w:spacing w:line="360" w:lineRule="auto"/>
        <w:jc w:val="both"/>
        <w:rPr>
          <w:rFonts w:ascii="Arial" w:hAnsi="Arial" w:cs="Arial"/>
          <w:sz w:val="20"/>
          <w:szCs w:val="20"/>
        </w:rPr>
      </w:pPr>
      <w:r>
        <w:rPr>
          <w:rFonts w:ascii="Arial" w:hAnsi="Arial" w:cs="Arial"/>
          <w:sz w:val="20"/>
          <w:szCs w:val="20"/>
        </w:rPr>
        <w:lastRenderedPageBreak/>
        <w:t xml:space="preserve">The process model, as is an ABM, </w:t>
      </w:r>
      <w:r w:rsidR="007B22C1">
        <w:rPr>
          <w:rFonts w:ascii="Arial" w:hAnsi="Arial" w:cs="Arial"/>
          <w:sz w:val="20"/>
          <w:szCs w:val="20"/>
        </w:rPr>
        <w:t>tracks</w:t>
      </w:r>
      <w:r>
        <w:rPr>
          <w:rFonts w:ascii="Arial" w:hAnsi="Arial" w:cs="Arial"/>
          <w:sz w:val="20"/>
          <w:szCs w:val="20"/>
        </w:rPr>
        <w:t xml:space="preserve"> the state of the patients at daily time scales</w:t>
      </w:r>
      <w:r w:rsidR="007B22C1">
        <w:rPr>
          <w:rFonts w:ascii="Arial" w:hAnsi="Arial" w:cs="Arial"/>
          <w:sz w:val="20"/>
          <w:szCs w:val="20"/>
        </w:rPr>
        <w:t>. Patients</w:t>
      </w:r>
      <w:r w:rsidR="00594567">
        <w:rPr>
          <w:rFonts w:ascii="Arial" w:hAnsi="Arial" w:cs="Arial"/>
          <w:sz w:val="20"/>
          <w:szCs w:val="20"/>
        </w:rPr>
        <w:t xml:space="preserve"> were either</w:t>
      </w:r>
      <w:r w:rsidR="00EA4D48">
        <w:rPr>
          <w:rFonts w:ascii="Arial" w:hAnsi="Arial" w:cs="Arial"/>
          <w:sz w:val="20"/>
          <w:szCs w:val="20"/>
        </w:rPr>
        <w:t xml:space="preserve"> susceptible to colonization or carriers with a microorganism (See </w:t>
      </w:r>
      <w:r w:rsidR="00EA4D48">
        <w:rPr>
          <w:rFonts w:ascii="Arial" w:hAnsi="Arial" w:cs="Arial"/>
          <w:i/>
          <w:iCs/>
          <w:sz w:val="20"/>
          <w:szCs w:val="20"/>
        </w:rPr>
        <w:t xml:space="preserve">The transmission model </w:t>
      </w:r>
      <w:r w:rsidR="00EA4D48">
        <w:rPr>
          <w:rFonts w:ascii="Arial" w:hAnsi="Arial" w:cs="Arial"/>
          <w:sz w:val="20"/>
          <w:szCs w:val="20"/>
        </w:rPr>
        <w:t xml:space="preserve">in </w:t>
      </w:r>
      <w:r w:rsidR="00EA4D48" w:rsidRPr="009914B1">
        <w:rPr>
          <w:rFonts w:ascii="Arial" w:hAnsi="Arial" w:cs="Arial"/>
          <w:sz w:val="20"/>
          <w:szCs w:val="20"/>
        </w:rPr>
        <w:t>Methods</w:t>
      </w:r>
      <w:r w:rsidR="00EA4D48">
        <w:rPr>
          <w:rFonts w:ascii="Arial" w:hAnsi="Arial" w:cs="Arial"/>
          <w:sz w:val="20"/>
          <w:szCs w:val="20"/>
        </w:rPr>
        <w:t>)</w:t>
      </w:r>
      <w:r w:rsidR="003C4174">
        <w:rPr>
          <w:rFonts w:ascii="Arial" w:hAnsi="Arial" w:cs="Arial"/>
          <w:sz w:val="20"/>
          <w:szCs w:val="20"/>
        </w:rPr>
        <w:t xml:space="preserve">. </w:t>
      </w:r>
      <w:r w:rsidR="00720A6E">
        <w:rPr>
          <w:rFonts w:ascii="Arial" w:hAnsi="Arial" w:cs="Arial"/>
          <w:sz w:val="20"/>
          <w:szCs w:val="20"/>
        </w:rPr>
        <w:t xml:space="preserve">The observational model </w:t>
      </w:r>
      <w:r w:rsidR="00790332">
        <w:rPr>
          <w:rFonts w:ascii="Arial" w:hAnsi="Arial" w:cs="Arial"/>
          <w:sz w:val="20"/>
          <w:szCs w:val="20"/>
        </w:rPr>
        <w:t>designed at the individual level allows us to map from the carriers to detected individuals via a simulated culture</w:t>
      </w:r>
      <w:r w:rsidR="009F388B">
        <w:rPr>
          <w:rFonts w:ascii="Arial" w:hAnsi="Arial" w:cs="Arial"/>
          <w:sz w:val="20"/>
          <w:szCs w:val="20"/>
        </w:rPr>
        <w:t>.</w:t>
      </w:r>
      <w:r w:rsidR="00EC6859">
        <w:rPr>
          <w:rFonts w:ascii="Arial" w:hAnsi="Arial" w:cs="Arial"/>
          <w:sz w:val="20"/>
          <w:szCs w:val="20"/>
        </w:rPr>
        <w:t xml:space="preserve"> We parametrize the patient observational model with a likelihood of detection given carriage</w:t>
      </w:r>
      <w:r w:rsidR="00706D79">
        <w:rPr>
          <w:rFonts w:ascii="Arial" w:hAnsi="Arial" w:cs="Arial"/>
          <w:sz w:val="20"/>
          <w:szCs w:val="20"/>
        </w:rPr>
        <w:t xml:space="preserve"> </w:t>
      </w:r>
      <w:r w:rsidR="00BF1544">
        <w:rPr>
          <w:rFonts w:ascii="Arial" w:hAnsi="Arial" w:cs="Arial"/>
          <w:sz w:val="20"/>
          <w:szCs w:val="20"/>
        </w:rPr>
        <w:t>upon testing</w:t>
      </w:r>
      <w:r w:rsidR="00940CAF">
        <w:rPr>
          <w:rFonts w:ascii="Arial" w:hAnsi="Arial" w:cs="Arial"/>
          <w:sz w:val="20"/>
          <w:szCs w:val="20"/>
        </w:rPr>
        <w:t xml:space="preserve"> </w:t>
      </w:r>
      <w:r w:rsidR="00706D79">
        <w:rPr>
          <w:rFonts w:ascii="Arial" w:hAnsi="Arial" w:cs="Arial"/>
          <w:sz w:val="20"/>
          <w:szCs w:val="20"/>
        </w:rPr>
        <w:t>-</w:t>
      </w:r>
      <w:r w:rsidR="00EC6859">
        <w:rPr>
          <w:rFonts w:ascii="Arial" w:hAnsi="Arial" w:cs="Arial"/>
          <w:sz w:val="20"/>
          <w:szCs w:val="20"/>
        </w:rPr>
        <w:t xml:space="preserve"> </w:t>
      </w:r>
      <m:oMath>
        <m:r>
          <m:rPr>
            <m:sty m:val="p"/>
          </m:rPr>
          <w:rPr>
            <w:rFonts w:ascii="Cambria Math" w:hAnsi="Cambria Math" w:cs="Arial"/>
            <w:sz w:val="20"/>
            <w:szCs w:val="20"/>
          </w:rPr>
          <m:t>ρ</m:t>
        </m:r>
      </m:oMath>
      <w:r w:rsidR="0044643D">
        <w:rPr>
          <w:rFonts w:ascii="Arial" w:eastAsiaTheme="minorEastAsia" w:hAnsi="Arial" w:cs="Arial"/>
          <w:sz w:val="20"/>
          <w:szCs w:val="20"/>
        </w:rPr>
        <w:t xml:space="preserve"> (See </w:t>
      </w:r>
      <w:r w:rsidR="0044643D">
        <w:rPr>
          <w:rFonts w:ascii="Arial" w:eastAsiaTheme="minorEastAsia" w:hAnsi="Arial" w:cs="Arial"/>
          <w:i/>
          <w:iCs/>
          <w:sz w:val="20"/>
          <w:szCs w:val="20"/>
        </w:rPr>
        <w:t xml:space="preserve">The individual observational model </w:t>
      </w:r>
      <w:r w:rsidR="0044643D">
        <w:rPr>
          <w:rFonts w:ascii="Arial" w:eastAsiaTheme="minorEastAsia" w:hAnsi="Arial" w:cs="Arial"/>
          <w:sz w:val="20"/>
          <w:szCs w:val="20"/>
        </w:rPr>
        <w:t>in</w:t>
      </w:r>
      <w:r w:rsidR="0044643D">
        <w:rPr>
          <w:rFonts w:ascii="Arial" w:eastAsiaTheme="minorEastAsia" w:hAnsi="Arial" w:cs="Arial"/>
          <w:i/>
          <w:iCs/>
          <w:sz w:val="20"/>
          <w:szCs w:val="20"/>
        </w:rPr>
        <w:t xml:space="preserve"> </w:t>
      </w:r>
      <w:r w:rsidR="0044643D">
        <w:rPr>
          <w:rFonts w:ascii="Arial" w:eastAsiaTheme="minorEastAsia" w:hAnsi="Arial" w:cs="Arial"/>
          <w:sz w:val="20"/>
          <w:szCs w:val="20"/>
        </w:rPr>
        <w:t>Methods).</w:t>
      </w:r>
      <w:r w:rsidR="00EC6859">
        <w:rPr>
          <w:rFonts w:ascii="Arial" w:eastAsiaTheme="minorEastAsia" w:hAnsi="Arial" w:cs="Arial"/>
          <w:sz w:val="20"/>
          <w:szCs w:val="20"/>
        </w:rPr>
        <w:t xml:space="preserve"> </w:t>
      </w:r>
      <w:r w:rsidR="00FB35C3">
        <w:rPr>
          <w:rFonts w:ascii="Arial" w:eastAsiaTheme="minorEastAsia" w:hAnsi="Arial" w:cs="Arial"/>
          <w:sz w:val="20"/>
          <w:szCs w:val="20"/>
        </w:rPr>
        <w:t xml:space="preserve">Data assimilation is </w:t>
      </w:r>
      <w:r w:rsidR="00ED710F">
        <w:rPr>
          <w:rFonts w:ascii="Arial" w:eastAsiaTheme="minorEastAsia" w:hAnsi="Arial" w:cs="Arial"/>
          <w:sz w:val="20"/>
          <w:szCs w:val="20"/>
        </w:rPr>
        <w:t>conducted</w:t>
      </w:r>
      <w:r w:rsidR="00FB35C3">
        <w:rPr>
          <w:rFonts w:ascii="Arial" w:eastAsiaTheme="minorEastAsia" w:hAnsi="Arial" w:cs="Arial"/>
          <w:sz w:val="20"/>
          <w:szCs w:val="20"/>
        </w:rPr>
        <w:t xml:space="preserve"> </w:t>
      </w:r>
      <w:r w:rsidR="00EC6859">
        <w:rPr>
          <w:rFonts w:ascii="Arial" w:eastAsiaTheme="minorEastAsia" w:hAnsi="Arial" w:cs="Arial"/>
          <w:sz w:val="20"/>
          <w:szCs w:val="20"/>
        </w:rPr>
        <w:t>at the building level</w:t>
      </w:r>
      <w:r w:rsidR="00FB35C3">
        <w:rPr>
          <w:rFonts w:ascii="Arial" w:eastAsiaTheme="minorEastAsia" w:hAnsi="Arial" w:cs="Arial"/>
          <w:sz w:val="20"/>
          <w:szCs w:val="20"/>
        </w:rPr>
        <w:t xml:space="preserve"> therefore</w:t>
      </w:r>
      <w:r w:rsidR="00EC6859">
        <w:rPr>
          <w:rFonts w:ascii="Arial" w:eastAsiaTheme="minorEastAsia" w:hAnsi="Arial" w:cs="Arial"/>
          <w:sz w:val="20"/>
          <w:szCs w:val="20"/>
        </w:rPr>
        <w:t xml:space="preserve"> we</w:t>
      </w:r>
      <w:r w:rsidR="00706D79">
        <w:rPr>
          <w:rFonts w:ascii="Arial" w:eastAsiaTheme="minorEastAsia" w:hAnsi="Arial" w:cs="Arial"/>
          <w:sz w:val="20"/>
          <w:szCs w:val="20"/>
        </w:rPr>
        <w:t xml:space="preserve"> consistently</w:t>
      </w:r>
      <w:r w:rsidR="00EC6859">
        <w:rPr>
          <w:rFonts w:ascii="Arial" w:eastAsiaTheme="minorEastAsia" w:hAnsi="Arial" w:cs="Arial"/>
          <w:sz w:val="20"/>
          <w:szCs w:val="20"/>
        </w:rPr>
        <w:t xml:space="preserve"> aggregate </w:t>
      </w:r>
      <w:r w:rsidR="00CA17E4">
        <w:rPr>
          <w:rFonts w:ascii="Arial" w:eastAsiaTheme="minorEastAsia" w:hAnsi="Arial" w:cs="Arial"/>
          <w:sz w:val="20"/>
          <w:szCs w:val="20"/>
        </w:rPr>
        <w:t>simul</w:t>
      </w:r>
      <w:r w:rsidR="004546BD">
        <w:rPr>
          <w:rFonts w:ascii="Arial" w:eastAsiaTheme="minorEastAsia" w:hAnsi="Arial" w:cs="Arial"/>
          <w:sz w:val="20"/>
          <w:szCs w:val="20"/>
        </w:rPr>
        <w:t>a</w:t>
      </w:r>
      <w:r w:rsidR="00CA17E4">
        <w:rPr>
          <w:rFonts w:ascii="Arial" w:eastAsiaTheme="minorEastAsia" w:hAnsi="Arial" w:cs="Arial"/>
          <w:sz w:val="20"/>
          <w:szCs w:val="20"/>
        </w:rPr>
        <w:t xml:space="preserve">ted </w:t>
      </w:r>
      <w:r w:rsidR="00EC6859">
        <w:rPr>
          <w:rFonts w:ascii="Arial" w:eastAsiaTheme="minorEastAsia" w:hAnsi="Arial" w:cs="Arial"/>
          <w:sz w:val="20"/>
          <w:szCs w:val="20"/>
        </w:rPr>
        <w:t xml:space="preserve">patient detections </w:t>
      </w:r>
      <w:r w:rsidR="00DB1394">
        <w:rPr>
          <w:rFonts w:ascii="Arial" w:eastAsiaTheme="minorEastAsia" w:hAnsi="Arial" w:cs="Arial"/>
          <w:sz w:val="20"/>
          <w:szCs w:val="20"/>
        </w:rPr>
        <w:t>at this scale</w:t>
      </w:r>
      <w:r w:rsidR="00EC6859">
        <w:rPr>
          <w:rFonts w:ascii="Arial" w:eastAsiaTheme="minorEastAsia" w:hAnsi="Arial" w:cs="Arial"/>
          <w:sz w:val="20"/>
          <w:szCs w:val="20"/>
        </w:rPr>
        <w:t xml:space="preserve">. </w:t>
      </w:r>
      <w:r w:rsidR="00706D79">
        <w:rPr>
          <w:rFonts w:ascii="Arial" w:eastAsiaTheme="minorEastAsia" w:hAnsi="Arial" w:cs="Arial"/>
          <w:sz w:val="20"/>
          <w:szCs w:val="20"/>
        </w:rPr>
        <w:t xml:space="preserve">Weekly and monthly </w:t>
      </w:r>
      <w:r w:rsidR="0047735C">
        <w:rPr>
          <w:rFonts w:ascii="Arial" w:eastAsiaTheme="minorEastAsia" w:hAnsi="Arial" w:cs="Arial"/>
          <w:sz w:val="20"/>
          <w:szCs w:val="20"/>
        </w:rPr>
        <w:t>incidences</w:t>
      </w:r>
      <w:r w:rsidR="00706D79">
        <w:rPr>
          <w:rFonts w:ascii="Arial" w:eastAsiaTheme="minorEastAsia" w:hAnsi="Arial" w:cs="Arial"/>
          <w:sz w:val="20"/>
          <w:szCs w:val="20"/>
        </w:rPr>
        <w:t xml:space="preserve"> of positive cultures for each building are shown in Fig 1A</w:t>
      </w:r>
      <w:r w:rsidR="00620F75">
        <w:rPr>
          <w:rFonts w:ascii="Arial" w:eastAsiaTheme="minorEastAsia" w:hAnsi="Arial" w:cs="Arial"/>
          <w:sz w:val="20"/>
          <w:szCs w:val="20"/>
        </w:rPr>
        <w:t xml:space="preserve">, faded and strong solid lines respectively. </w:t>
      </w:r>
      <w:r w:rsidR="0047735C">
        <w:rPr>
          <w:rFonts w:ascii="Arial" w:eastAsiaTheme="minorEastAsia" w:hAnsi="Arial" w:cs="Arial"/>
          <w:sz w:val="20"/>
          <w:szCs w:val="20"/>
        </w:rPr>
        <w:t>We subsequently used these six building time series to perform parameter estimat</w:t>
      </w:r>
      <w:r w:rsidR="00CC36BB">
        <w:rPr>
          <w:rFonts w:ascii="Arial" w:eastAsiaTheme="minorEastAsia" w:hAnsi="Arial" w:cs="Arial"/>
          <w:sz w:val="20"/>
          <w:szCs w:val="20"/>
        </w:rPr>
        <w:t>ion</w:t>
      </w:r>
      <w:r w:rsidR="00AF2500">
        <w:rPr>
          <w:rFonts w:ascii="Arial" w:eastAsiaTheme="minorEastAsia" w:hAnsi="Arial" w:cs="Arial"/>
          <w:sz w:val="20"/>
          <w:szCs w:val="20"/>
        </w:rPr>
        <w:t>.</w:t>
      </w:r>
    </w:p>
    <w:p w14:paraId="51B319A4"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26483EC8" w14:textId="543B4275" w:rsidR="00D245CE" w:rsidRDefault="005E4095" w:rsidP="009D3DD5">
      <w:pPr>
        <w:spacing w:line="360" w:lineRule="auto"/>
        <w:jc w:val="both"/>
        <w:rPr>
          <w:rFonts w:ascii="Arial" w:eastAsiaTheme="minorEastAsia" w:hAnsi="Arial" w:cs="Arial"/>
          <w:sz w:val="20"/>
          <w:szCs w:val="20"/>
        </w:rPr>
      </w:pPr>
      <w:r w:rsidRPr="005E4095">
        <w:rPr>
          <w:rFonts w:ascii="Arial" w:hAnsi="Arial" w:cs="Arial"/>
          <w:sz w:val="20"/>
          <w:szCs w:val="20"/>
        </w:rPr>
        <w:t xml:space="preserve">To investigate the identifiability of the model-inference system, </w:t>
      </w:r>
      <w:r w:rsidR="00492812">
        <w:rPr>
          <w:rFonts w:ascii="Arial" w:hAnsi="Arial" w:cs="Arial"/>
          <w:sz w:val="20"/>
          <w:szCs w:val="20"/>
        </w:rPr>
        <w:t xml:space="preserve">we explored inference on a simulated trajectory </w:t>
      </w:r>
      <w:r w:rsidR="00492AF3">
        <w:rPr>
          <w:rFonts w:ascii="Arial" w:hAnsi="Arial" w:cs="Arial"/>
          <w:sz w:val="20"/>
          <w:szCs w:val="20"/>
        </w:rPr>
        <w:t xml:space="preserve">with known parameters. We </w:t>
      </w:r>
      <w:r w:rsidR="00AF2500">
        <w:rPr>
          <w:rFonts w:ascii="Arial" w:hAnsi="Arial" w:cs="Arial"/>
          <w:sz w:val="20"/>
          <w:szCs w:val="20"/>
        </w:rPr>
        <w:t xml:space="preserve">first investigated in the </w:t>
      </w:r>
      <w:r w:rsidR="00162827">
        <w:rPr>
          <w:rFonts w:ascii="Arial" w:hAnsi="Arial" w:cs="Arial"/>
          <w:sz w:val="20"/>
          <w:szCs w:val="20"/>
        </w:rPr>
        <w:t>model inference</w:t>
      </w:r>
      <w:r w:rsidR="00AF2500">
        <w:rPr>
          <w:rFonts w:ascii="Arial" w:hAnsi="Arial" w:cs="Arial"/>
          <w:sz w:val="20"/>
          <w:szCs w:val="20"/>
        </w:rPr>
        <w:t xml:space="preserve"> is capable of recovering parameters fixing the importation rate </w:t>
      </w:r>
      <m:oMath>
        <m:r>
          <w:rPr>
            <w:rFonts w:ascii="Cambria Math" w:hAnsi="Cambria Math" w:cs="Arial"/>
            <w:sz w:val="20"/>
            <w:szCs w:val="20"/>
          </w:rPr>
          <m:t>γ</m:t>
        </m:r>
      </m:oMath>
      <w:r w:rsidR="00AF2500">
        <w:rPr>
          <w:rFonts w:ascii="Arial" w:eastAsiaTheme="minorEastAsia" w:hAnsi="Arial" w:cs="Arial"/>
          <w:sz w:val="20"/>
          <w:szCs w:val="20"/>
        </w:rPr>
        <w:t xml:space="preserve"> to 25% and 50%</w:t>
      </w:r>
      <w:r w:rsidR="008753F5">
        <w:rPr>
          <w:rFonts w:ascii="Arial" w:eastAsiaTheme="minorEastAsia" w:hAnsi="Arial" w:cs="Arial"/>
          <w:sz w:val="20"/>
          <w:szCs w:val="20"/>
        </w:rPr>
        <w:t>, and varying</w:t>
      </w:r>
      <w:r w:rsidR="00522C38">
        <w:rPr>
          <w:rFonts w:ascii="Arial" w:eastAsiaTheme="minorEastAsia" w:hAnsi="Arial" w:cs="Arial"/>
          <w:sz w:val="20"/>
          <w:szCs w:val="20"/>
        </w:rPr>
        <w:t xml:space="preserve"> the likelihood of</w:t>
      </w:r>
      <w:r w:rsidR="008753F5">
        <w:rPr>
          <w:rFonts w:ascii="Arial" w:eastAsiaTheme="minorEastAsia" w:hAnsi="Arial" w:cs="Arial"/>
          <w:sz w:val="20"/>
          <w:szCs w:val="20"/>
        </w:rPr>
        <w:t xml:space="preserve"> </w:t>
      </w:r>
      <m:oMath>
        <m:r>
          <w:rPr>
            <w:rFonts w:ascii="Cambria Math" w:eastAsiaTheme="minorEastAsia" w:hAnsi="Cambria Math" w:cs="Arial"/>
            <w:sz w:val="20"/>
            <w:szCs w:val="20"/>
          </w:rPr>
          <m:t>ρ</m:t>
        </m:r>
        <m:r>
          <m:rPr>
            <m:sty m:val="p"/>
          </m:rPr>
          <w:rPr>
            <w:rFonts w:ascii="Cambria Math" w:eastAsiaTheme="minorEastAsia" w:hAnsi="Cambria Math" w:cs="Arial" w:hint="eastAsia"/>
            <w:sz w:val="20"/>
            <w:szCs w:val="20"/>
          </w:rPr>
          <m:t>∈</m:t>
        </m:r>
        <m:r>
          <m:rPr>
            <m:lit/>
            <m:sty m:val="p"/>
          </m:rPr>
          <w:rPr>
            <w:rFonts w:ascii="Cambria Math" w:eastAsiaTheme="minorEastAsia" w:hAnsi="Cambria Math" w:cs="Arial"/>
            <w:sz w:val="20"/>
            <w:szCs w:val="20"/>
          </w:rPr>
          <m:t>{</m:t>
        </m:r>
        <m:r>
          <w:del w:id="15" w:author="Cascante Vega, Jaime E." w:date="2023-04-27T11:25:00Z">
            <m:rPr>
              <m:sty m:val="p"/>
            </m:rPr>
            <w:rPr>
              <w:rFonts w:ascii="Cambria Math" w:eastAsiaTheme="minorEastAsia" w:hAnsi="Cambria Math" w:cs="Arial"/>
              <w:sz w:val="20"/>
              <w:szCs w:val="20"/>
            </w:rPr>
            <m:t xml:space="preserve"> </m:t>
          </w:del>
        </m:r>
        <m:r>
          <w:rPr>
            <w:rFonts w:ascii="Cambria Math" w:eastAsiaTheme="minorEastAsia" w:hAnsi="Cambria Math" w:cs="Arial"/>
            <w:sz w:val="20"/>
            <w:szCs w:val="20"/>
          </w:rPr>
          <m:t>1%,5%,10%,18%</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and the nosocomial transmission rate </w:t>
      </w:r>
      <m:oMath>
        <m:r>
          <w:rPr>
            <w:rFonts w:ascii="Cambria Math" w:eastAsiaTheme="minorEastAsia" w:hAnsi="Cambria Math" w:cs="Arial"/>
            <w:sz w:val="20"/>
            <w:szCs w:val="20"/>
          </w:rPr>
          <m:t>β</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0.01, 0.05, 0.1</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uniformly covering the prior range, but without forcing the simulated carriage detection to match the observed </w:t>
      </w:r>
      <w:r w:rsidR="003C2682">
        <w:rPr>
          <w:rFonts w:ascii="Arial" w:eastAsiaTheme="minorEastAsia" w:hAnsi="Arial" w:cs="Arial"/>
          <w:sz w:val="20"/>
          <w:szCs w:val="20"/>
        </w:rPr>
        <w:t>one</w:t>
      </w:r>
      <w:r w:rsidR="00522C38">
        <w:rPr>
          <w:rFonts w:ascii="Arial" w:eastAsiaTheme="minorEastAsia" w:hAnsi="Arial" w:cs="Arial"/>
          <w:sz w:val="20"/>
          <w:szCs w:val="20"/>
        </w:rPr>
        <w:t xml:space="preserve"> (See SI section </w:t>
      </w:r>
      <w:r w:rsidR="00522C38">
        <w:rPr>
          <w:rFonts w:ascii="Arial" w:eastAsiaTheme="minorEastAsia" w:hAnsi="Arial" w:cs="Arial"/>
          <w:i/>
          <w:iCs/>
          <w:sz w:val="20"/>
          <w:szCs w:val="20"/>
        </w:rPr>
        <w:t>Model inference framework)</w:t>
      </w:r>
      <w:r w:rsidR="003C2682">
        <w:rPr>
          <w:rFonts w:ascii="Arial" w:eastAsiaTheme="minorEastAsia" w:hAnsi="Arial" w:cs="Arial"/>
          <w:sz w:val="20"/>
          <w:szCs w:val="20"/>
        </w:rPr>
        <w:t xml:space="preserve">. The posterior parameter estimates of the inference consistently capture the true parameter values for both detection rates </w:t>
      </w:r>
      <m:oMath>
        <m:r>
          <w:rPr>
            <w:rFonts w:ascii="Cambria Math" w:eastAsiaTheme="minorEastAsia" w:hAnsi="Cambria Math" w:cs="Arial"/>
            <w:sz w:val="20"/>
            <w:szCs w:val="20"/>
          </w:rPr>
          <m:t>ρ</m:t>
        </m:r>
      </m:oMath>
      <w:r w:rsidR="003C2682">
        <w:rPr>
          <w:rFonts w:ascii="Arial" w:eastAsiaTheme="minorEastAsia" w:hAnsi="Arial" w:cs="Arial"/>
          <w:sz w:val="20"/>
          <w:szCs w:val="20"/>
        </w:rPr>
        <w:t xml:space="preserve"> and nosocomial transmission rates </w:t>
      </w:r>
      <m:oMath>
        <m:r>
          <w:rPr>
            <w:rFonts w:ascii="Cambria Math" w:eastAsiaTheme="minorEastAsia" w:hAnsi="Cambria Math" w:cs="Arial"/>
            <w:sz w:val="20"/>
            <w:szCs w:val="20"/>
          </w:rPr>
          <m:t>β</m:t>
        </m:r>
      </m:oMath>
      <w:r w:rsidR="003C2682">
        <w:rPr>
          <w:rFonts w:ascii="Arial" w:eastAsiaTheme="minorEastAsia" w:hAnsi="Arial" w:cs="Arial"/>
          <w:sz w:val="20"/>
          <w:szCs w:val="20"/>
        </w:rPr>
        <w:t xml:space="preserve"> (See Figure 2A and 2B for </w:t>
      </w:r>
      <m:oMath>
        <m:r>
          <w:rPr>
            <w:rFonts w:ascii="Cambria Math" w:eastAsiaTheme="minorEastAsia" w:hAnsi="Cambria Math" w:cs="Arial"/>
            <w:sz w:val="20"/>
            <w:szCs w:val="20"/>
          </w:rPr>
          <m:t>γ</m:t>
        </m:r>
      </m:oMath>
      <w:r w:rsidR="003C2682">
        <w:rPr>
          <w:rFonts w:ascii="Arial" w:eastAsiaTheme="minorEastAsia" w:hAnsi="Arial" w:cs="Arial"/>
          <w:sz w:val="20"/>
          <w:szCs w:val="20"/>
        </w:rPr>
        <w:t xml:space="preserve"> </w:t>
      </w:r>
      <w:r w:rsidR="005256E8">
        <w:rPr>
          <w:rFonts w:ascii="Arial" w:eastAsiaTheme="minorEastAsia" w:hAnsi="Arial" w:cs="Arial"/>
          <w:sz w:val="20"/>
          <w:szCs w:val="20"/>
        </w:rPr>
        <w:t xml:space="preserve">equal to </w:t>
      </w:r>
      <w:r w:rsidR="003C2682">
        <w:rPr>
          <w:rFonts w:ascii="Arial" w:eastAsiaTheme="minorEastAsia" w:hAnsi="Arial" w:cs="Arial"/>
          <w:sz w:val="20"/>
          <w:szCs w:val="20"/>
        </w:rPr>
        <w:t xml:space="preserve">25 and 50% respectively). Figure </w:t>
      </w:r>
      <w:r w:rsidR="00F72015">
        <w:rPr>
          <w:rFonts w:ascii="Arial" w:eastAsiaTheme="minorEastAsia" w:hAnsi="Arial" w:cs="Arial"/>
          <w:sz w:val="20"/>
          <w:szCs w:val="20"/>
        </w:rPr>
        <w:t xml:space="preserve">2A </w:t>
      </w:r>
      <w:r w:rsidR="000B0E4F">
        <w:rPr>
          <w:rFonts w:ascii="Arial" w:eastAsiaTheme="minorEastAsia" w:hAnsi="Arial" w:cs="Arial"/>
          <w:sz w:val="20"/>
          <w:szCs w:val="20"/>
        </w:rPr>
        <w:t>highlights two</w:t>
      </w:r>
      <w:r w:rsidR="003C2682">
        <w:rPr>
          <w:rFonts w:ascii="Arial" w:eastAsiaTheme="minorEastAsia" w:hAnsi="Arial" w:cs="Arial"/>
          <w:sz w:val="20"/>
          <w:szCs w:val="20"/>
        </w:rPr>
        <w:t xml:space="preserve"> bits of information, first how the </w:t>
      </w:r>
      <w:r w:rsidR="001D6A67">
        <w:rPr>
          <w:rFonts w:ascii="Arial" w:eastAsiaTheme="minorEastAsia" w:hAnsi="Arial" w:cs="Arial"/>
          <w:sz w:val="20"/>
          <w:szCs w:val="20"/>
        </w:rPr>
        <w:t>model inference</w:t>
      </w:r>
      <w:r w:rsidR="003C2682">
        <w:rPr>
          <w:rFonts w:ascii="Arial" w:eastAsiaTheme="minorEastAsia" w:hAnsi="Arial" w:cs="Arial"/>
          <w:sz w:val="20"/>
          <w:szCs w:val="20"/>
        </w:rPr>
        <w:t xml:space="preserve"> is able to explore different regions of the prior</w:t>
      </w:r>
      <w:r w:rsidR="00A66999">
        <w:rPr>
          <w:rFonts w:ascii="Arial" w:eastAsiaTheme="minorEastAsia" w:hAnsi="Arial" w:cs="Arial"/>
          <w:sz w:val="20"/>
          <w:szCs w:val="20"/>
        </w:rPr>
        <w:t xml:space="preserve"> range</w:t>
      </w:r>
      <w:r w:rsidR="003C2682">
        <w:rPr>
          <w:rFonts w:ascii="Arial" w:eastAsiaTheme="minorEastAsia" w:hAnsi="Arial" w:cs="Arial"/>
          <w:sz w:val="20"/>
          <w:szCs w:val="20"/>
        </w:rPr>
        <w:t xml:space="preserve"> (indicated in the limits of each axis), and second how the posterior captures the true parameter values. </w:t>
      </w:r>
      <w:r w:rsidR="00F02D90">
        <w:rPr>
          <w:rFonts w:ascii="Arial" w:eastAsiaTheme="minorEastAsia" w:hAnsi="Arial" w:cs="Arial"/>
          <w:sz w:val="20"/>
          <w:szCs w:val="20"/>
        </w:rPr>
        <w:t xml:space="preserve">Interestingly inferences with </w:t>
      </w:r>
      <m:oMath>
        <m:r>
          <w:rPr>
            <w:rFonts w:ascii="Cambria Math" w:eastAsiaTheme="minorEastAsia" w:hAnsi="Cambria Math" w:cs="Arial"/>
            <w:sz w:val="20"/>
            <w:szCs w:val="20"/>
          </w:rPr>
          <m:t xml:space="preserve">γ=25% </m:t>
        </m:r>
      </m:oMath>
      <w:r w:rsidR="00F02D90">
        <w:rPr>
          <w:rFonts w:ascii="Arial" w:eastAsiaTheme="minorEastAsia" w:hAnsi="Arial" w:cs="Arial"/>
          <w:sz w:val="20"/>
          <w:szCs w:val="20"/>
        </w:rPr>
        <w:t xml:space="preserve">are more biased and less sharp than inferences with </w:t>
      </w:r>
      <m:oMath>
        <m:r>
          <w:rPr>
            <w:rFonts w:ascii="Cambria Math" w:eastAsiaTheme="minorEastAsia" w:hAnsi="Cambria Math" w:cs="Arial"/>
            <w:sz w:val="20"/>
            <w:szCs w:val="20"/>
          </w:rPr>
          <m:t>γ=50%</m:t>
        </m:r>
      </m:oMath>
      <w:r w:rsidR="00F02D90">
        <w:rPr>
          <w:rFonts w:ascii="Arial" w:eastAsiaTheme="minorEastAsia" w:hAnsi="Arial" w:cs="Arial"/>
          <w:sz w:val="20"/>
          <w:szCs w:val="20"/>
        </w:rPr>
        <w:t xml:space="preserve">. </w:t>
      </w:r>
      <w:r w:rsidR="00830935">
        <w:rPr>
          <w:rFonts w:ascii="Arial" w:hAnsi="Arial" w:cs="Arial"/>
          <w:sz w:val="20"/>
          <w:szCs w:val="20"/>
        </w:rPr>
        <w:t xml:space="preserve">An important question to </w:t>
      </w:r>
      <w:r w:rsidR="00F02D90">
        <w:rPr>
          <w:rFonts w:ascii="Arial" w:hAnsi="Arial" w:cs="Arial"/>
          <w:sz w:val="20"/>
          <w:szCs w:val="20"/>
        </w:rPr>
        <w:t xml:space="preserve">ask </w:t>
      </w:r>
      <w:r w:rsidR="00830935">
        <w:rPr>
          <w:rFonts w:ascii="Arial" w:hAnsi="Arial" w:cs="Arial"/>
          <w:sz w:val="20"/>
          <w:szCs w:val="20"/>
        </w:rPr>
        <w:t xml:space="preserve">is whether the </w:t>
      </w:r>
      <w:r w:rsidR="00F02D90">
        <w:rPr>
          <w:rFonts w:ascii="Arial" w:hAnsi="Arial" w:cs="Arial"/>
          <w:sz w:val="20"/>
          <w:szCs w:val="20"/>
        </w:rPr>
        <w:t xml:space="preserve">inverse </w:t>
      </w:r>
      <w:r w:rsidR="00830935">
        <w:rPr>
          <w:rFonts w:ascii="Arial" w:hAnsi="Arial" w:cs="Arial"/>
          <w:sz w:val="20"/>
          <w:szCs w:val="20"/>
        </w:rPr>
        <w:t>inference problem is well posed</w:t>
      </w:r>
      <w:r w:rsidR="00832195">
        <w:rPr>
          <w:rFonts w:ascii="Arial" w:hAnsi="Arial" w:cs="Arial"/>
          <w:sz w:val="20"/>
          <w:szCs w:val="20"/>
        </w:rPr>
        <w:t>; i.e. if perturbations to the observations change the answer of the inverse problem</w:t>
      </w:r>
      <w:r w:rsidR="00830935">
        <w:rPr>
          <w:rFonts w:ascii="Arial" w:hAnsi="Arial" w:cs="Arial"/>
          <w:sz w:val="20"/>
          <w:szCs w:val="20"/>
        </w:rPr>
        <w:t xml:space="preserve"> (</w:t>
      </w:r>
      <w:r w:rsidR="009E0461">
        <w:rPr>
          <w:rFonts w:ascii="Arial" w:hAnsi="Arial" w:cs="Arial"/>
          <w:sz w:val="20"/>
          <w:szCs w:val="20"/>
        </w:rPr>
        <w:t>See</w:t>
      </w:r>
      <w:r w:rsidR="00893982">
        <w:rPr>
          <w:rFonts w:ascii="Arial" w:hAnsi="Arial" w:cs="Arial"/>
          <w:sz w:val="20"/>
          <w:szCs w:val="20"/>
        </w:rPr>
        <w:t xml:space="preserve"> </w:t>
      </w:r>
      <w:r w:rsidR="00FE621B">
        <w:rPr>
          <w:rFonts w:ascii="Arial" w:hAnsi="Arial" w:cs="Arial"/>
          <w:sz w:val="20"/>
          <w:szCs w:val="20"/>
        </w:rPr>
        <w:t>Chapter 7</w:t>
      </w:r>
      <w:r w:rsidR="008D30EE">
        <w:rPr>
          <w:rFonts w:ascii="Arial" w:hAnsi="Arial" w:cs="Arial"/>
          <w:sz w:val="20"/>
          <w:szCs w:val="20"/>
        </w:rPr>
        <w:t xml:space="preserve"> of </w:t>
      </w:r>
      <w:r w:rsidR="008D30EE">
        <w:rPr>
          <w:rFonts w:ascii="Arial" w:hAnsi="Arial" w:cs="Arial"/>
          <w:sz w:val="20"/>
          <w:szCs w:val="20"/>
        </w:rPr>
        <w:fldChar w:fldCharType="begin"/>
      </w:r>
      <w:r w:rsidR="00697AC4">
        <w:rPr>
          <w:rFonts w:ascii="Arial" w:hAnsi="Arial" w:cs="Arial"/>
          <w:sz w:val="20"/>
          <w:szCs w:val="20"/>
        </w:rPr>
        <w:instrText xml:space="preserve"> ADDIN ZOTERO_ITEM CSL_CITATION {"citationID":"a1mamaee4o1","properties":{"formattedCitation":"\\super 34\\nosupersub{}","plainCitation":"34","noteIndex":0},"citationItems":[{"id":638,"uris":["http://zotero.org/users/9551388/items/JWTXMED3"],"itemData":{"id":638,"type":"article","abstract":"We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M."},{"family":"Taeb","given":"Armeen"}],"accessed":{"date-parts":[["2023",4,27]]},"issued":{"date-parts":[["2023",2,14]]}}}],"schema":"https://github.com/citation-style-language/schema/raw/master/csl-citation.json"} </w:instrText>
      </w:r>
      <w:r w:rsidR="008D30EE">
        <w:rPr>
          <w:rFonts w:ascii="Arial" w:hAnsi="Arial" w:cs="Arial"/>
          <w:sz w:val="20"/>
          <w:szCs w:val="20"/>
        </w:rPr>
        <w:fldChar w:fldCharType="separate"/>
      </w:r>
      <w:r w:rsidR="00697AC4" w:rsidRPr="00697AC4">
        <w:rPr>
          <w:rFonts w:ascii="Arial" w:hAnsi="Arial" w:cs="Arial"/>
          <w:sz w:val="20"/>
          <w:vertAlign w:val="superscript"/>
          <w:lang w:val="en-GB"/>
        </w:rPr>
        <w:t>34</w:t>
      </w:r>
      <w:r w:rsidR="008D30EE">
        <w:rPr>
          <w:rFonts w:ascii="Arial" w:hAnsi="Arial" w:cs="Arial"/>
          <w:sz w:val="20"/>
          <w:szCs w:val="20"/>
        </w:rPr>
        <w:fldChar w:fldCharType="end"/>
      </w:r>
      <w:r w:rsidR="00830935">
        <w:rPr>
          <w:rFonts w:ascii="Arial" w:hAnsi="Arial" w:cs="Arial"/>
          <w:sz w:val="20"/>
          <w:szCs w:val="20"/>
        </w:rPr>
        <w:t>)</w:t>
      </w:r>
      <w:r w:rsidR="00893982">
        <w:rPr>
          <w:rFonts w:ascii="Arial" w:hAnsi="Arial" w:cs="Arial"/>
          <w:sz w:val="20"/>
          <w:szCs w:val="20"/>
        </w:rPr>
        <w:t>.</w:t>
      </w:r>
      <w:r w:rsidR="00830935">
        <w:rPr>
          <w:rFonts w:ascii="Arial" w:hAnsi="Arial" w:cs="Arial"/>
          <w:sz w:val="20"/>
          <w:szCs w:val="20"/>
        </w:rPr>
        <w:t xml:space="preserve"> </w:t>
      </w:r>
      <w:r w:rsidR="00893982">
        <w:rPr>
          <w:rFonts w:ascii="Arial" w:hAnsi="Arial" w:cs="Arial"/>
          <w:sz w:val="20"/>
          <w:szCs w:val="20"/>
        </w:rPr>
        <w:t>Inference</w:t>
      </w:r>
      <w:r w:rsidR="00830935">
        <w:rPr>
          <w:rFonts w:ascii="Arial" w:hAnsi="Arial" w:cs="Arial"/>
          <w:sz w:val="20"/>
          <w:szCs w:val="20"/>
        </w:rPr>
        <w:t xml:space="preserve"> is conducted on a single stochastic trajectory, we investigated if the stochasticity has a substantial effect on the posterior inference</w:t>
      </w:r>
      <w:r w:rsidR="008F507C">
        <w:rPr>
          <w:rFonts w:ascii="Arial" w:hAnsi="Arial" w:cs="Arial"/>
          <w:sz w:val="20"/>
          <w:szCs w:val="20"/>
        </w:rPr>
        <w:t xml:space="preserve"> (also referred </w:t>
      </w:r>
      <w:r w:rsidR="00F02D90">
        <w:rPr>
          <w:rFonts w:ascii="Arial" w:hAnsi="Arial" w:cs="Arial"/>
          <w:sz w:val="20"/>
          <w:szCs w:val="20"/>
        </w:rPr>
        <w:t xml:space="preserve">to </w:t>
      </w:r>
      <w:r w:rsidR="008F507C">
        <w:rPr>
          <w:rFonts w:ascii="Arial" w:hAnsi="Arial" w:cs="Arial"/>
          <w:sz w:val="20"/>
          <w:szCs w:val="20"/>
        </w:rPr>
        <w:t>as Monte Carlo error)</w:t>
      </w:r>
      <w:r w:rsidR="00830935">
        <w:rPr>
          <w:rFonts w:ascii="Arial" w:hAnsi="Arial" w:cs="Arial"/>
          <w:sz w:val="20"/>
          <w:szCs w:val="20"/>
        </w:rPr>
        <w:t>.</w:t>
      </w:r>
      <w:r w:rsidR="00D9501D">
        <w:rPr>
          <w:rFonts w:ascii="Arial" w:hAnsi="Arial" w:cs="Arial"/>
          <w:sz w:val="20"/>
          <w:szCs w:val="20"/>
        </w:rPr>
        <w:t xml:space="preserve"> Guided </w:t>
      </w:r>
      <w:r w:rsidR="008D30EE">
        <w:rPr>
          <w:rFonts w:ascii="Arial" w:hAnsi="Arial" w:cs="Arial"/>
          <w:sz w:val="20"/>
          <w:szCs w:val="20"/>
        </w:rPr>
        <w:t>b</w:t>
      </w:r>
      <w:r w:rsidR="00D9501D">
        <w:rPr>
          <w:rFonts w:ascii="Arial" w:hAnsi="Arial" w:cs="Arial"/>
          <w:sz w:val="20"/>
          <w:szCs w:val="20"/>
        </w:rPr>
        <w:t>y numerical results</w:t>
      </w:r>
      <w:r w:rsidR="00830935">
        <w:rPr>
          <w:rFonts w:ascii="Arial" w:hAnsi="Arial" w:cs="Arial"/>
          <w:sz w:val="20"/>
          <w:szCs w:val="20"/>
        </w:rPr>
        <w:t xml:space="preserve"> </w:t>
      </w:r>
      <w:r w:rsidR="00CD18AD">
        <w:rPr>
          <w:rFonts w:ascii="Arial" w:hAnsi="Arial" w:cs="Arial"/>
          <w:sz w:val="20"/>
          <w:szCs w:val="20"/>
        </w:rPr>
        <w:t>SI Figure S5</w:t>
      </w:r>
      <w:r w:rsidR="00A21486">
        <w:rPr>
          <w:rFonts w:ascii="Arial" w:hAnsi="Arial" w:cs="Arial"/>
          <w:sz w:val="20"/>
          <w:szCs w:val="20"/>
        </w:rPr>
        <w:t>A</w:t>
      </w:r>
      <w:r w:rsidR="00CD18AD">
        <w:rPr>
          <w:rFonts w:ascii="Arial" w:hAnsi="Arial" w:cs="Arial"/>
          <w:sz w:val="20"/>
          <w:szCs w:val="20"/>
        </w:rPr>
        <w:t xml:space="preserve"> shows how the goodness-of-fit </w:t>
      </w:r>
      <w:r w:rsidR="00B50376">
        <w:rPr>
          <w:rFonts w:ascii="Arial" w:hAnsi="Arial" w:cs="Arial"/>
          <w:sz w:val="20"/>
          <w:szCs w:val="20"/>
        </w:rPr>
        <w:t>o</w:t>
      </w:r>
      <w:r w:rsidR="00CD18AD">
        <w:rPr>
          <w:rFonts w:ascii="Arial" w:hAnsi="Arial" w:cs="Arial"/>
          <w:sz w:val="20"/>
          <w:szCs w:val="20"/>
        </w:rPr>
        <w:t xml:space="preserve">f the posterior can be </w:t>
      </w:r>
      <w:r w:rsidR="001C1BA3">
        <w:rPr>
          <w:rFonts w:ascii="Arial" w:hAnsi="Arial" w:cs="Arial"/>
          <w:sz w:val="20"/>
          <w:szCs w:val="20"/>
        </w:rPr>
        <w:t xml:space="preserve">linearly </w:t>
      </w:r>
      <w:r w:rsidR="00CD18AD">
        <w:rPr>
          <w:rFonts w:ascii="Arial" w:hAnsi="Arial" w:cs="Arial"/>
          <w:sz w:val="20"/>
          <w:szCs w:val="20"/>
        </w:rPr>
        <w:t xml:space="preserve">predicted by </w:t>
      </w:r>
      <w:r w:rsidR="0058171C">
        <w:rPr>
          <w:rFonts w:ascii="Arial" w:hAnsi="Arial" w:cs="Arial"/>
          <w:sz w:val="20"/>
          <w:szCs w:val="20"/>
        </w:rPr>
        <w:t xml:space="preserve">how </w:t>
      </w:r>
      <w:r w:rsidR="001A3D5F">
        <w:rPr>
          <w:rFonts w:ascii="Arial" w:hAnsi="Arial" w:cs="Arial"/>
          <w:sz w:val="20"/>
          <w:szCs w:val="20"/>
        </w:rPr>
        <w:t xml:space="preserve">probable </w:t>
      </w:r>
      <w:r w:rsidR="0058171C">
        <w:rPr>
          <w:rFonts w:ascii="Arial" w:hAnsi="Arial" w:cs="Arial"/>
          <w:sz w:val="20"/>
          <w:szCs w:val="20"/>
        </w:rPr>
        <w:t>the observation used to conduct inference</w:t>
      </w:r>
      <w:r w:rsidR="00D9501D">
        <w:rPr>
          <w:rFonts w:ascii="Arial" w:hAnsi="Arial" w:cs="Arial"/>
          <w:sz w:val="20"/>
          <w:szCs w:val="20"/>
        </w:rPr>
        <w:t xml:space="preserve"> was</w:t>
      </w:r>
      <w:r w:rsidR="0058171C">
        <w:rPr>
          <w:rFonts w:ascii="Arial" w:hAnsi="Arial" w:cs="Arial"/>
          <w:sz w:val="20"/>
          <w:szCs w:val="20"/>
        </w:rPr>
        <w:t xml:space="preserve"> (see Methods)</w:t>
      </w:r>
      <w:r w:rsidR="005F0E97">
        <w:rPr>
          <w:rFonts w:ascii="Arial" w:hAnsi="Arial" w:cs="Arial"/>
          <w:sz w:val="20"/>
          <w:szCs w:val="20"/>
        </w:rPr>
        <w:t>.</w:t>
      </w:r>
      <w:r w:rsidR="001A3D5F">
        <w:rPr>
          <w:rFonts w:ascii="Arial" w:hAnsi="Arial" w:cs="Arial"/>
          <w:sz w:val="20"/>
          <w:szCs w:val="20"/>
        </w:rPr>
        <w:t xml:space="preserve"> </w:t>
      </w:r>
      <w:commentRangeStart w:id="16"/>
      <w:r w:rsidR="005F0E97">
        <w:rPr>
          <w:rFonts w:ascii="Arial" w:hAnsi="Arial" w:cs="Arial"/>
          <w:sz w:val="20"/>
          <w:szCs w:val="20"/>
        </w:rPr>
        <w:t>T</w:t>
      </w:r>
      <w:r w:rsidR="001A3D5F">
        <w:rPr>
          <w:rFonts w:ascii="Arial" w:hAnsi="Arial" w:cs="Arial"/>
          <w:sz w:val="20"/>
          <w:szCs w:val="20"/>
        </w:rPr>
        <w:t xml:space="preserve">his was </w:t>
      </w:r>
      <w:r w:rsidR="00D9501D">
        <w:rPr>
          <w:rFonts w:ascii="Arial" w:hAnsi="Arial" w:cs="Arial"/>
          <w:sz w:val="20"/>
          <w:szCs w:val="20"/>
        </w:rPr>
        <w:t xml:space="preserve">also </w:t>
      </w:r>
      <w:r w:rsidR="00B846E4">
        <w:rPr>
          <w:rFonts w:ascii="Arial" w:hAnsi="Arial" w:cs="Arial"/>
          <w:sz w:val="20"/>
          <w:szCs w:val="20"/>
        </w:rPr>
        <w:t>a function of</w:t>
      </w:r>
      <w:r w:rsidR="00D9501D">
        <w:rPr>
          <w:rFonts w:ascii="Arial" w:hAnsi="Arial" w:cs="Arial"/>
          <w:sz w:val="20"/>
          <w:szCs w:val="20"/>
        </w:rPr>
        <w:t xml:space="preserve"> </w:t>
      </w:r>
      <m:oMath>
        <m:r>
          <w:rPr>
            <w:rFonts w:ascii="Cambria Math" w:hAnsi="Cambria Math" w:cs="Arial"/>
            <w:sz w:val="20"/>
            <w:szCs w:val="20"/>
          </w:rPr>
          <m:t>γ</m:t>
        </m:r>
        <w:commentRangeEnd w:id="16"/>
        <m:r>
          <m:rPr>
            <m:sty m:val="p"/>
          </m:rPr>
          <w:rPr>
            <w:rStyle w:val="CommentReference"/>
            <w:rFonts w:ascii="Cambria Math" w:eastAsia="Times New Roman" w:hAnsi="Cambria Math" w:cs="Times New Roman"/>
          </w:rPr>
          <w:commentReference w:id="16"/>
        </m:r>
        <m:r>
          <w:rPr>
            <w:rFonts w:ascii="Cambria Math" w:hAnsi="Cambria Math" w:cs="Arial"/>
            <w:sz w:val="20"/>
            <w:szCs w:val="20"/>
          </w:rPr>
          <m:t xml:space="preserve">, </m:t>
        </m:r>
      </m:oMath>
      <w:r w:rsidR="00E2673A">
        <w:rPr>
          <w:rFonts w:ascii="Arial" w:eastAsiaTheme="minorEastAsia" w:hAnsi="Arial" w:cs="Arial"/>
          <w:iCs/>
          <w:sz w:val="20"/>
          <w:szCs w:val="20"/>
        </w:rPr>
        <w:t xml:space="preserve"> with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=25%</m:t>
        </m:r>
      </m:oMath>
      <w:r w:rsidR="00E2673A">
        <w:rPr>
          <w:rFonts w:ascii="Arial" w:eastAsiaTheme="minorEastAsia" w:hAnsi="Arial" w:cs="Arial"/>
          <w:iCs/>
          <w:sz w:val="20"/>
          <w:szCs w:val="20"/>
        </w:rPr>
        <w:t xml:space="preserve"> showing a poorer goodness-of-fit than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=50%</m:t>
        </m:r>
      </m:oMath>
      <w:r w:rsidR="00FE06F4">
        <w:rPr>
          <w:rFonts w:ascii="Arial" w:eastAsiaTheme="minorEastAsia" w:hAnsi="Arial" w:cs="Arial"/>
          <w:iCs/>
          <w:sz w:val="20"/>
          <w:szCs w:val="20"/>
        </w:rPr>
        <w:t xml:space="preserve"> </w:t>
      </w:r>
      <w:r w:rsidR="009A3033">
        <w:rPr>
          <w:rFonts w:ascii="Arial" w:eastAsiaTheme="minorEastAsia" w:hAnsi="Arial" w:cs="Arial"/>
          <w:iCs/>
          <w:sz w:val="20"/>
          <w:szCs w:val="20"/>
        </w:rPr>
        <w:t xml:space="preserve">for a more common inferred time series but </w:t>
      </w:r>
      <w:r w:rsidR="000B0E4F">
        <w:rPr>
          <w:rFonts w:ascii="Arial" w:eastAsiaTheme="minorEastAsia" w:hAnsi="Arial" w:cs="Arial"/>
          <w:iCs/>
          <w:sz w:val="20"/>
          <w:szCs w:val="20"/>
        </w:rPr>
        <w:t xml:space="preserve">a </w:t>
      </w:r>
      <w:r w:rsidR="009A3033">
        <w:rPr>
          <w:rFonts w:ascii="Arial" w:eastAsiaTheme="minorEastAsia" w:hAnsi="Arial" w:cs="Arial"/>
          <w:iCs/>
          <w:sz w:val="20"/>
          <w:szCs w:val="20"/>
        </w:rPr>
        <w:t xml:space="preserve">less pronounced </w:t>
      </w:r>
      <w:r w:rsidR="000B0E4F">
        <w:rPr>
          <w:rFonts w:ascii="Arial" w:eastAsiaTheme="minorEastAsia" w:hAnsi="Arial" w:cs="Arial"/>
          <w:iCs/>
          <w:sz w:val="20"/>
          <w:szCs w:val="20"/>
        </w:rPr>
        <w:t>relationship</w:t>
      </w:r>
      <w:r w:rsidR="009A3033">
        <w:rPr>
          <w:rFonts w:ascii="Arial" w:eastAsiaTheme="minorEastAsia" w:hAnsi="Arial" w:cs="Arial"/>
          <w:iCs/>
          <w:sz w:val="20"/>
          <w:szCs w:val="20"/>
        </w:rPr>
        <w:t xml:space="preserve"> w</w:t>
      </w:r>
      <w:r w:rsidR="00897E1C">
        <w:rPr>
          <w:rFonts w:ascii="Arial" w:eastAsiaTheme="minorEastAsia" w:hAnsi="Arial" w:cs="Arial"/>
          <w:iCs/>
          <w:sz w:val="20"/>
          <w:szCs w:val="20"/>
        </w:rPr>
        <w:t xml:space="preserve">ith the probability of observing the </w:t>
      </w:r>
      <w:r w:rsidR="00CE3D90">
        <w:rPr>
          <w:rFonts w:ascii="Arial" w:eastAsiaTheme="minorEastAsia" w:hAnsi="Arial" w:cs="Arial"/>
          <w:iCs/>
          <w:sz w:val="20"/>
          <w:szCs w:val="20"/>
        </w:rPr>
        <w:t>time-series</w:t>
      </w:r>
      <w:r w:rsidR="00897E1C">
        <w:rPr>
          <w:rFonts w:ascii="Arial" w:eastAsiaTheme="minorEastAsia" w:hAnsi="Arial" w:cs="Arial"/>
          <w:iCs/>
          <w:sz w:val="20"/>
          <w:szCs w:val="20"/>
        </w:rPr>
        <w:t xml:space="preserve"> used for inference</w:t>
      </w:r>
      <w:r w:rsidR="009A3033">
        <w:rPr>
          <w:rFonts w:ascii="Arial" w:eastAsiaTheme="minorEastAsia" w:hAnsi="Arial" w:cs="Arial"/>
          <w:iCs/>
          <w:sz w:val="20"/>
          <w:szCs w:val="20"/>
        </w:rPr>
        <w:t xml:space="preserve"> </w:t>
      </w:r>
      <w:r w:rsidR="00E2673A">
        <w:rPr>
          <w:rFonts w:ascii="Arial" w:eastAsiaTheme="minorEastAsia" w:hAnsi="Arial" w:cs="Arial"/>
          <w:iCs/>
          <w:sz w:val="20"/>
          <w:szCs w:val="20"/>
        </w:rPr>
        <w:t>(</w:t>
      </w:r>
      <w:r w:rsidR="009A3033">
        <w:rPr>
          <w:rFonts w:ascii="Arial" w:eastAsiaTheme="minorEastAsia" w:hAnsi="Arial" w:cs="Arial"/>
          <w:iCs/>
          <w:sz w:val="20"/>
          <w:szCs w:val="20"/>
        </w:rPr>
        <w:t xml:space="preserve">slopes of </w:t>
      </w:r>
      <w:r w:rsidR="00E2673A">
        <w:rPr>
          <w:rFonts w:ascii="Arial" w:eastAsiaTheme="minorEastAsia" w:hAnsi="Arial" w:cs="Arial"/>
          <w:iCs/>
          <w:sz w:val="20"/>
          <w:szCs w:val="20"/>
        </w:rPr>
        <w:t>purple line</w:t>
      </w:r>
      <w:r w:rsidR="00FE06F4">
        <w:rPr>
          <w:rFonts w:ascii="Arial" w:eastAsiaTheme="minorEastAsia" w:hAnsi="Arial" w:cs="Arial"/>
          <w:iCs/>
          <w:sz w:val="20"/>
          <w:szCs w:val="20"/>
        </w:rPr>
        <w:t xml:space="preserve"> and red line</w:t>
      </w:r>
      <w:r w:rsidR="00E2673A">
        <w:rPr>
          <w:rFonts w:ascii="Arial" w:eastAsiaTheme="minorEastAsia" w:hAnsi="Arial" w:cs="Arial"/>
          <w:iCs/>
          <w:sz w:val="20"/>
          <w:szCs w:val="20"/>
        </w:rPr>
        <w:t xml:space="preserve"> </w:t>
      </w:r>
      <w:r w:rsidR="00FE06F4">
        <w:rPr>
          <w:rFonts w:ascii="Arial" w:eastAsiaTheme="minorEastAsia" w:hAnsi="Arial" w:cs="Arial"/>
          <w:iCs/>
          <w:sz w:val="20"/>
          <w:szCs w:val="20"/>
        </w:rPr>
        <w:t xml:space="preserve">respectively </w:t>
      </w:r>
      <w:r w:rsidR="00E2673A">
        <w:rPr>
          <w:rFonts w:ascii="Arial" w:eastAsiaTheme="minorEastAsia" w:hAnsi="Arial" w:cs="Arial"/>
          <w:iCs/>
          <w:sz w:val="20"/>
          <w:szCs w:val="20"/>
        </w:rPr>
        <w:t>in SI Figure S5A)</w:t>
      </w:r>
      <w:r w:rsidR="00A21486">
        <w:rPr>
          <w:rFonts w:ascii="Arial" w:hAnsi="Arial" w:cs="Arial"/>
          <w:sz w:val="20"/>
          <w:szCs w:val="20"/>
        </w:rPr>
        <w:t>.</w:t>
      </w:r>
      <w:r w:rsidR="00BA2402">
        <w:rPr>
          <w:rFonts w:ascii="Arial" w:hAnsi="Arial" w:cs="Arial"/>
          <w:sz w:val="20"/>
          <w:szCs w:val="20"/>
        </w:rPr>
        <w:t xml:space="preserve"> </w:t>
      </w:r>
      <w:r w:rsidR="001A3D5F">
        <w:rPr>
          <w:rFonts w:ascii="Arial" w:hAnsi="Arial" w:cs="Arial"/>
          <w:sz w:val="20"/>
          <w:szCs w:val="20"/>
        </w:rPr>
        <w:t xml:space="preserve">When </w:t>
      </w:r>
      <w:r w:rsidR="00CE3D90">
        <w:rPr>
          <w:rFonts w:ascii="Arial" w:hAnsi="Arial" w:cs="Arial"/>
          <w:sz w:val="20"/>
          <w:szCs w:val="20"/>
        </w:rPr>
        <w:t>controlled</w:t>
      </w:r>
      <w:r w:rsidR="001A3D5F">
        <w:rPr>
          <w:rFonts w:ascii="Arial" w:hAnsi="Arial" w:cs="Arial"/>
          <w:sz w:val="20"/>
          <w:szCs w:val="20"/>
        </w:rPr>
        <w:t xml:space="preserve"> by the Monte Carlo error</w:t>
      </w:r>
      <w:r w:rsidR="00FC5ABE">
        <w:rPr>
          <w:rFonts w:ascii="Arial" w:hAnsi="Arial" w:cs="Arial"/>
          <w:sz w:val="20"/>
          <w:szCs w:val="20"/>
        </w:rPr>
        <w:t xml:space="preserve"> (see Methods)</w:t>
      </w:r>
      <w:r w:rsidR="005F0E97">
        <w:rPr>
          <w:rFonts w:ascii="Arial" w:hAnsi="Arial" w:cs="Arial"/>
          <w:sz w:val="20"/>
          <w:szCs w:val="20"/>
        </w:rPr>
        <w:t xml:space="preserve"> we found </w:t>
      </w:r>
      <w:r w:rsidR="001C1BA3">
        <w:rPr>
          <w:rFonts w:ascii="Arial" w:hAnsi="Arial" w:cs="Arial"/>
          <w:sz w:val="20"/>
          <w:szCs w:val="20"/>
        </w:rPr>
        <w:t xml:space="preserve">that the goodness-of-fit </w:t>
      </w:r>
      <w:r w:rsidR="00CE3D90">
        <w:rPr>
          <w:rFonts w:ascii="Arial" w:hAnsi="Arial" w:cs="Arial"/>
          <w:sz w:val="20"/>
          <w:szCs w:val="20"/>
        </w:rPr>
        <w:t>decreased</w:t>
      </w:r>
      <w:r w:rsidR="00193D04">
        <w:rPr>
          <w:rFonts w:ascii="Arial" w:hAnsi="Arial" w:cs="Arial"/>
          <w:sz w:val="20"/>
          <w:szCs w:val="20"/>
        </w:rPr>
        <w:t xml:space="preserve"> exponentially with </w:t>
      </w:r>
      <w:r w:rsidR="00E2673A">
        <w:rPr>
          <w:rFonts w:ascii="Arial" w:hAnsi="Arial" w:cs="Arial"/>
          <w:sz w:val="20"/>
          <w:szCs w:val="20"/>
        </w:rPr>
        <w:t>the proba</w:t>
      </w:r>
      <w:r w:rsidR="00EE220D">
        <w:rPr>
          <w:rFonts w:ascii="Arial" w:hAnsi="Arial" w:cs="Arial"/>
          <w:sz w:val="20"/>
          <w:szCs w:val="20"/>
        </w:rPr>
        <w:t>, and it's not impacted by</w:t>
      </w:r>
      <w:r w:rsidR="001C1BA3">
        <w:rPr>
          <w:rFonts w:ascii="Arial" w:hAnsi="Arial" w:cs="Arial"/>
          <w:sz w:val="20"/>
          <w:szCs w:val="20"/>
        </w:rPr>
        <w:t xml:space="preserve"> </w:t>
      </w:r>
      <m:oMath>
        <m:r>
          <w:rPr>
            <w:rFonts w:ascii="Cambria Math" w:hAnsi="Cambria Math" w:cs="Arial"/>
            <w:sz w:val="20"/>
            <w:szCs w:val="20"/>
          </w:rPr>
          <m:t>γ</m:t>
        </m:r>
      </m:oMath>
      <w:r w:rsidR="0080393B">
        <w:rPr>
          <w:rFonts w:ascii="Arial" w:eastAsiaTheme="minorEastAsia" w:hAnsi="Arial" w:cs="Arial"/>
          <w:iCs/>
          <w:sz w:val="20"/>
          <w:szCs w:val="20"/>
        </w:rPr>
        <w:t xml:space="preserve"> (See S</w:t>
      </w:r>
      <w:r w:rsidR="008A592B">
        <w:rPr>
          <w:rFonts w:ascii="Arial" w:eastAsiaTheme="minorEastAsia" w:hAnsi="Arial" w:cs="Arial"/>
          <w:iCs/>
          <w:sz w:val="20"/>
          <w:szCs w:val="20"/>
        </w:rPr>
        <w:t>I</w:t>
      </w:r>
      <w:r w:rsidR="0080393B">
        <w:rPr>
          <w:rFonts w:ascii="Arial" w:eastAsiaTheme="minorEastAsia" w:hAnsi="Arial" w:cs="Arial"/>
          <w:iCs/>
          <w:sz w:val="20"/>
          <w:szCs w:val="20"/>
        </w:rPr>
        <w:t xml:space="preserve"> Figure S5B)</w:t>
      </w:r>
      <w:r w:rsidR="00EE220D">
        <w:rPr>
          <w:rFonts w:ascii="Arial" w:eastAsiaTheme="minorEastAsia" w:hAnsi="Arial" w:cs="Arial"/>
          <w:sz w:val="20"/>
          <w:szCs w:val="20"/>
        </w:rPr>
        <w:t>.</w:t>
      </w:r>
      <w:r w:rsidR="00CE3D90">
        <w:rPr>
          <w:rFonts w:ascii="Arial" w:eastAsiaTheme="minorEastAsia" w:hAnsi="Arial" w:cs="Arial"/>
          <w:sz w:val="20"/>
          <w:szCs w:val="20"/>
        </w:rPr>
        <w:t xml:space="preserve"> </w:t>
      </w:r>
    </w:p>
    <w:p w14:paraId="19EAC5A3" w14:textId="1B2F3895" w:rsidR="00F02D90" w:rsidRPr="00456CA1" w:rsidRDefault="00CE3D90" w:rsidP="0094137D">
      <w:pPr>
        <w:spacing w:line="360" w:lineRule="auto"/>
        <w:jc w:val="both"/>
        <w:rPr>
          <w:rFonts w:ascii="Arial" w:eastAsiaTheme="minorEastAsia" w:hAnsi="Arial" w:cs="Arial"/>
          <w:iCs/>
          <w:color w:val="FF0000"/>
          <w:sz w:val="20"/>
          <w:szCs w:val="20"/>
          <w:rPrChange w:id="17" w:author="Cascante Vega, Jaime E." w:date="2023-04-27T15:47:00Z">
            <w:rPr>
              <w:rFonts w:ascii="Arial" w:hAnsi="Arial" w:cs="Arial"/>
              <w:sz w:val="20"/>
              <w:szCs w:val="20"/>
            </w:rPr>
          </w:rPrChange>
        </w:rPr>
      </w:pPr>
      <w:r>
        <w:rPr>
          <w:rFonts w:ascii="Arial" w:eastAsiaTheme="minorEastAsia" w:hAnsi="Arial" w:cs="Arial"/>
          <w:sz w:val="20"/>
          <w:szCs w:val="20"/>
        </w:rPr>
        <w:t xml:space="preserve">We ran ensemble simulations with the posterior parameter estimate and compared </w:t>
      </w:r>
      <w:r w:rsidR="00162827">
        <w:rPr>
          <w:rFonts w:ascii="Arial" w:eastAsiaTheme="minorEastAsia" w:hAnsi="Arial" w:cs="Arial"/>
          <w:sz w:val="20"/>
          <w:szCs w:val="20"/>
        </w:rPr>
        <w:t xml:space="preserve">them </w:t>
      </w:r>
      <w:r>
        <w:rPr>
          <w:rFonts w:ascii="Arial" w:eastAsiaTheme="minorEastAsia" w:hAnsi="Arial" w:cs="Arial"/>
          <w:sz w:val="20"/>
          <w:szCs w:val="20"/>
        </w:rPr>
        <w:t>t</w:t>
      </w:r>
      <w:r w:rsidR="00B50376">
        <w:rPr>
          <w:rFonts w:ascii="Arial" w:eastAsiaTheme="minorEastAsia" w:hAnsi="Arial" w:cs="Arial"/>
          <w:sz w:val="20"/>
          <w:szCs w:val="20"/>
        </w:rPr>
        <w:t xml:space="preserve">o the ensemble simulations with the true parameters, highlighting the observation used to conduct </w:t>
      </w:r>
      <w:r w:rsidR="00B50376">
        <w:rPr>
          <w:rFonts w:ascii="Arial" w:eastAsiaTheme="minorEastAsia" w:hAnsi="Arial" w:cs="Arial"/>
          <w:sz w:val="20"/>
          <w:szCs w:val="20"/>
        </w:rPr>
        <w:lastRenderedPageBreak/>
        <w:t>inference (See SI Figure S6</w:t>
      </w:r>
      <w:r w:rsidR="00D245CE">
        <w:rPr>
          <w:rFonts w:ascii="Arial" w:eastAsiaTheme="minorEastAsia" w:hAnsi="Arial" w:cs="Arial"/>
          <w:sz w:val="20"/>
          <w:szCs w:val="20"/>
        </w:rPr>
        <w:t xml:space="preserve">A and S6B,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found that qualitatively even biased inferences reproduced well both the true ensemble simulations and the observation used to conduct inference</w:t>
      </w:r>
      <w:r w:rsidR="00B50376">
        <w:rPr>
          <w:rFonts w:ascii="Arial" w:eastAsiaTheme="minorEastAsia" w:hAnsi="Arial" w:cs="Arial"/>
          <w:sz w:val="20"/>
          <w:szCs w:val="20"/>
        </w:rPr>
        <w:t xml:space="preserve">. We </w:t>
      </w:r>
      <w:r w:rsidR="00D245CE">
        <w:rPr>
          <w:rFonts w:ascii="Arial" w:eastAsiaTheme="minorEastAsia" w:hAnsi="Arial" w:cs="Arial"/>
          <w:sz w:val="20"/>
          <w:szCs w:val="20"/>
        </w:rPr>
        <w:t xml:space="preserve">quantified the calibration </w:t>
      </w:r>
      <w:del w:id="18" w:author="Cascante Vega, Jaime E." w:date="2023-04-27T16:53:00Z">
        <w:r w:rsidR="00D245CE" w:rsidDel="004B7551">
          <w:rPr>
            <w:rFonts w:ascii="Arial" w:eastAsiaTheme="minorEastAsia" w:hAnsi="Arial" w:cs="Arial"/>
            <w:sz w:val="20"/>
            <w:szCs w:val="20"/>
          </w:rPr>
          <w:delText xml:space="preserve">with </w:delText>
        </w:r>
      </w:del>
      <w:ins w:id="19" w:author="Cascante Vega, Jaime E." w:date="2023-04-27T16:53:00Z">
        <w:r w:rsidR="004B7551">
          <w:rPr>
            <w:rFonts w:ascii="Arial" w:eastAsiaTheme="minorEastAsia" w:hAnsi="Arial" w:cs="Arial"/>
            <w:sz w:val="20"/>
            <w:szCs w:val="20"/>
          </w:rPr>
          <w:t xml:space="preserve">displaying </w:t>
        </w:r>
      </w:ins>
      <w:r w:rsidR="00B50376">
        <w:rPr>
          <w:rFonts w:ascii="Arial" w:eastAsiaTheme="minorEastAsia" w:hAnsi="Arial" w:cs="Arial"/>
          <w:sz w:val="20"/>
          <w:szCs w:val="20"/>
        </w:rPr>
        <w:t>the reliability</w:t>
      </w:r>
      <w:ins w:id="20" w:author="Cascante Vega, Jaime E." w:date="2023-04-27T16:53:00Z">
        <w:r w:rsidR="004B7551">
          <w:rPr>
            <w:rFonts w:ascii="Arial" w:eastAsiaTheme="minorEastAsia" w:hAnsi="Arial" w:cs="Arial"/>
            <w:sz w:val="20"/>
            <w:szCs w:val="20"/>
          </w:rPr>
          <w:t xml:space="preserve"> plot</w:t>
        </w:r>
      </w:ins>
      <w:r w:rsidR="00B50376">
        <w:rPr>
          <w:rFonts w:ascii="Arial" w:eastAsiaTheme="minorEastAsia" w:hAnsi="Arial" w:cs="Arial"/>
          <w:sz w:val="20"/>
          <w:szCs w:val="20"/>
        </w:rPr>
        <w:t xml:space="preserve"> of both the posterior and truth ensemble simulation with the inferred </w:t>
      </w:r>
      <w:r w:rsidR="00D245CE">
        <w:rPr>
          <w:rFonts w:ascii="Arial" w:eastAsiaTheme="minorEastAsia" w:hAnsi="Arial" w:cs="Arial"/>
          <w:sz w:val="20"/>
          <w:szCs w:val="20"/>
        </w:rPr>
        <w:t>time-series</w:t>
      </w:r>
      <w:r w:rsidR="00B50376">
        <w:rPr>
          <w:rFonts w:ascii="Arial" w:eastAsiaTheme="minorEastAsia" w:hAnsi="Arial" w:cs="Arial"/>
          <w:sz w:val="20"/>
          <w:szCs w:val="20"/>
        </w:rPr>
        <w:t xml:space="preserve"> (See SI Figure </w:t>
      </w:r>
      <w:r w:rsidR="00D245CE">
        <w:rPr>
          <w:rFonts w:ascii="Arial" w:eastAsiaTheme="minorEastAsia" w:hAnsi="Arial" w:cs="Arial"/>
          <w:sz w:val="20"/>
          <w:szCs w:val="20"/>
        </w:rPr>
        <w:t xml:space="preserve">S7A and S7B,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w:t>
      </w:r>
      <w:ins w:id="21" w:author="Cascante Vega, Jaime E." w:date="2023-04-27T15:47:00Z">
        <w:r w:rsidR="00456CA1" w:rsidRPr="00024FD3">
          <w:rPr>
            <w:rFonts w:ascii="Arial" w:eastAsiaTheme="minorEastAsia" w:hAnsi="Arial" w:cs="Arial"/>
            <w:color w:val="FF0000"/>
            <w:sz w:val="20"/>
            <w:szCs w:val="20"/>
          </w:rPr>
          <w:t>finish this</w:t>
        </w:r>
      </w:ins>
    </w:p>
    <w:p w14:paraId="44614A29" w14:textId="137D1C80" w:rsidR="00A15FBA" w:rsidRDefault="00A15FBA" w:rsidP="00A15FBA">
      <w:pPr>
        <w:spacing w:line="360" w:lineRule="auto"/>
        <w:jc w:val="both"/>
        <w:rPr>
          <w:rFonts w:ascii="Arial" w:hAnsi="Arial" w:cs="Arial"/>
          <w:sz w:val="20"/>
          <w:szCs w:val="20"/>
        </w:rPr>
      </w:pPr>
      <w:r>
        <w:rPr>
          <w:rFonts w:ascii="Arial" w:hAnsi="Arial" w:cs="Arial"/>
          <w:sz w:val="20"/>
          <w:szCs w:val="20"/>
        </w:rPr>
        <w:t xml:space="preserve">Last </w:t>
      </w:r>
      <w:r w:rsidR="000376E8">
        <w:rPr>
          <w:rFonts w:ascii="Arial" w:hAnsi="Arial" w:cs="Arial"/>
          <w:sz w:val="20"/>
          <w:szCs w:val="20"/>
        </w:rPr>
        <w:t xml:space="preserve">approach allowed us to understand the ability of the model inference to solve the inverse problem in the prior parameter range. We also study the ability of the method to solve </w:t>
      </w:r>
      <w:r w:rsidR="00456CA1">
        <w:rPr>
          <w:rFonts w:ascii="Arial" w:hAnsi="Arial" w:cs="Arial"/>
          <w:sz w:val="20"/>
          <w:szCs w:val="20"/>
        </w:rPr>
        <w:t xml:space="preserve">the inverse problem in combination </w:t>
      </w:r>
      <w:del w:id="22" w:author="Cascante Vega, Jaime E." w:date="2023-04-27T16:43:00Z">
        <w:r w:rsidR="00456CA1" w:rsidDel="00871937">
          <w:rPr>
            <w:rFonts w:ascii="Arial" w:hAnsi="Arial" w:cs="Arial"/>
            <w:sz w:val="20"/>
            <w:szCs w:val="20"/>
          </w:rPr>
          <w:delText xml:space="preserve">with </w:delText>
        </w:r>
      </w:del>
      <w:ins w:id="23" w:author="Cascante Vega, Jaime E." w:date="2023-04-27T16:43:00Z">
        <w:r w:rsidR="00871937">
          <w:rPr>
            <w:rFonts w:ascii="Arial" w:hAnsi="Arial" w:cs="Arial"/>
            <w:sz w:val="20"/>
            <w:szCs w:val="20"/>
          </w:rPr>
          <w:t xml:space="preserve">of </w:t>
        </w:r>
      </w:ins>
      <w:r w:rsidR="00456CA1">
        <w:rPr>
          <w:rFonts w:ascii="Arial" w:hAnsi="Arial" w:cs="Arial"/>
          <w:sz w:val="20"/>
          <w:szCs w:val="20"/>
        </w:rPr>
        <w:t>parameters that reproduce the microorganism's nosocomial data at the hospital level (aggregation across buildings of time series shown in Figure 1A). We used the middle prevalence</w:t>
      </w:r>
      <w:ins w:id="24" w:author="Cascante Vega, Jaime E." w:date="2023-04-27T16:43:00Z">
        <w:r w:rsidR="00871937">
          <w:rPr>
            <w:rFonts w:ascii="Arial" w:hAnsi="Arial" w:cs="Arial"/>
            <w:sz w:val="20"/>
            <w:szCs w:val="20"/>
          </w:rPr>
          <w:t xml:space="preserve"> of each bacterial microorganism</w:t>
        </w:r>
      </w:ins>
      <w:r w:rsidR="00456CA1">
        <w:rPr>
          <w:rFonts w:ascii="Arial" w:hAnsi="Arial" w:cs="Arial"/>
          <w:sz w:val="20"/>
          <w:szCs w:val="20"/>
        </w:rPr>
        <w:t xml:space="preserve"> reported in Table 1, see Methods for further details </w:t>
      </w:r>
      <w:ins w:id="25" w:author="Cascante Vega, Jaime E." w:date="2023-04-27T15:56:00Z">
        <w:r w:rsidR="008443D2">
          <w:rPr>
            <w:rFonts w:ascii="Arial" w:hAnsi="Arial" w:cs="Arial"/>
            <w:sz w:val="20"/>
            <w:szCs w:val="20"/>
          </w:rPr>
          <w:t>on</w:t>
        </w:r>
      </w:ins>
      <w:del w:id="26" w:author="Cascante Vega, Jaime E." w:date="2023-04-27T15:56:00Z">
        <w:r w:rsidR="00456CA1" w:rsidDel="008443D2">
          <w:rPr>
            <w:rFonts w:ascii="Arial" w:hAnsi="Arial" w:cs="Arial"/>
            <w:sz w:val="20"/>
            <w:szCs w:val="20"/>
          </w:rPr>
          <w:delText>in</w:delText>
        </w:r>
      </w:del>
      <w:r w:rsidR="00456CA1">
        <w:rPr>
          <w:rFonts w:ascii="Arial" w:hAnsi="Arial" w:cs="Arial"/>
          <w:sz w:val="20"/>
          <w:szCs w:val="20"/>
        </w:rPr>
        <w:t xml:space="preserve"> the 9 scenarios selected for each pathogenic bacteria. SI Figure S8 shows the posterior estimates for each microorganism, note that the value of the 9 scenarios of each pathogen are very similar</w:t>
      </w:r>
      <w:r w:rsidR="005D2403">
        <w:rPr>
          <w:rFonts w:ascii="Arial" w:hAnsi="Arial" w:cs="Arial"/>
          <w:sz w:val="20"/>
          <w:szCs w:val="20"/>
        </w:rPr>
        <w:t>.</w:t>
      </w:r>
      <w:r w:rsidR="00456CA1">
        <w:rPr>
          <w:rFonts w:ascii="Arial" w:hAnsi="Arial" w:cs="Arial"/>
          <w:sz w:val="20"/>
          <w:szCs w:val="20"/>
        </w:rPr>
        <w:t xml:space="preserve"> </w:t>
      </w:r>
      <w:r w:rsidR="005D2403">
        <w:rPr>
          <w:rFonts w:ascii="Arial" w:hAnsi="Arial" w:cs="Arial"/>
          <w:sz w:val="20"/>
          <w:szCs w:val="20"/>
        </w:rPr>
        <w:t>We found</w:t>
      </w:r>
      <w:r w:rsidR="00456CA1">
        <w:rPr>
          <w:rFonts w:ascii="Arial" w:hAnsi="Arial" w:cs="Arial"/>
          <w:sz w:val="20"/>
          <w:szCs w:val="20"/>
        </w:rPr>
        <w:t xml:space="preserve"> the method is able to discriminate between the scenarios</w:t>
      </w:r>
      <w:ins w:id="27" w:author="Cascante Vega, Jaime E." w:date="2023-04-27T16:55:00Z">
        <w:r w:rsidR="00024FD3">
          <w:rPr>
            <w:rFonts w:ascii="Arial" w:hAnsi="Arial" w:cs="Arial"/>
            <w:sz w:val="20"/>
            <w:szCs w:val="20"/>
          </w:rPr>
          <w:t>.</w:t>
        </w:r>
      </w:ins>
      <w:del w:id="28" w:author="Cascante Vega, Jaime E." w:date="2023-04-27T16:54:00Z">
        <w:r w:rsidR="005D2403" w:rsidDel="00024FD3">
          <w:rPr>
            <w:rFonts w:ascii="Arial" w:hAnsi="Arial" w:cs="Arial"/>
            <w:sz w:val="20"/>
            <w:szCs w:val="20"/>
          </w:rPr>
          <w:delText>,</w:delText>
        </w:r>
      </w:del>
      <w:r w:rsidR="005D2403">
        <w:rPr>
          <w:rFonts w:ascii="Arial" w:hAnsi="Arial" w:cs="Arial"/>
          <w:sz w:val="20"/>
          <w:szCs w:val="20"/>
        </w:rPr>
        <w:t xml:space="preserve"> </w:t>
      </w:r>
      <w:ins w:id="29" w:author="Cascante Vega, Jaime E." w:date="2023-04-27T16:55:00Z">
        <w:r w:rsidR="00024FD3">
          <w:rPr>
            <w:rFonts w:ascii="Arial" w:hAnsi="Arial" w:cs="Arial"/>
            <w:sz w:val="20"/>
            <w:szCs w:val="20"/>
          </w:rPr>
          <w:t>T</w:t>
        </w:r>
      </w:ins>
      <w:del w:id="30" w:author="Cascante Vega, Jaime E." w:date="2023-04-27T16:55:00Z">
        <w:r w:rsidR="005D2403" w:rsidDel="00024FD3">
          <w:rPr>
            <w:rFonts w:ascii="Arial" w:hAnsi="Arial" w:cs="Arial"/>
            <w:sz w:val="20"/>
            <w:szCs w:val="20"/>
          </w:rPr>
          <w:delText>t</w:delText>
        </w:r>
      </w:del>
      <w:r w:rsidR="005D2403">
        <w:rPr>
          <w:rFonts w:ascii="Arial" w:hAnsi="Arial" w:cs="Arial"/>
          <w:sz w:val="20"/>
          <w:szCs w:val="20"/>
        </w:rPr>
        <w:t>his analysis covers a broad range of prevalences from 'low' to 'high' importation rates</w:t>
      </w:r>
      <w:ins w:id="31" w:author="Cascante Vega, Jaime E." w:date="2023-04-27T16:44:00Z">
        <w:r w:rsidR="00871937">
          <w:rPr>
            <w:rFonts w:ascii="Arial" w:hAnsi="Arial" w:cs="Arial"/>
            <w:sz w:val="20"/>
            <w:szCs w:val="20"/>
          </w:rPr>
          <w:t>;</w:t>
        </w:r>
      </w:ins>
      <w:r w:rsidR="005D2403">
        <w:rPr>
          <w:rFonts w:ascii="Arial" w:hAnsi="Arial" w:cs="Arial"/>
          <w:sz w:val="20"/>
          <w:szCs w:val="20"/>
        </w:rPr>
        <w:t xml:space="preserve"> 4% and 16% for MRSA and </w:t>
      </w:r>
      <w:r w:rsidR="005D2403">
        <w:rPr>
          <w:rFonts w:ascii="Arial" w:hAnsi="Arial" w:cs="Arial"/>
          <w:i/>
          <w:iCs/>
          <w:sz w:val="20"/>
          <w:szCs w:val="20"/>
        </w:rPr>
        <w:t xml:space="preserve">K. pneumoniae </w:t>
      </w:r>
      <w:r w:rsidR="005D2403">
        <w:rPr>
          <w:rFonts w:ascii="Arial" w:hAnsi="Arial" w:cs="Arial"/>
          <w:sz w:val="20"/>
          <w:szCs w:val="20"/>
        </w:rPr>
        <w:t>to 50% and 70%</w:t>
      </w:r>
      <w:ins w:id="32" w:author="Cascante Vega, Jaime E." w:date="2023-04-27T16:44:00Z">
        <w:r w:rsidR="00871937">
          <w:rPr>
            <w:rFonts w:ascii="Arial" w:hAnsi="Arial" w:cs="Arial"/>
            <w:sz w:val="20"/>
            <w:szCs w:val="20"/>
          </w:rPr>
          <w:t xml:space="preserve"> </w:t>
        </w:r>
      </w:ins>
      <w:r w:rsidR="005D2403">
        <w:rPr>
          <w:rFonts w:ascii="Arial" w:hAnsi="Arial" w:cs="Arial"/>
          <w:sz w:val="20"/>
          <w:szCs w:val="20"/>
        </w:rPr>
        <w:t xml:space="preserve">for </w:t>
      </w:r>
      <w:r w:rsidR="005D2403">
        <w:rPr>
          <w:rFonts w:ascii="Arial" w:hAnsi="Arial" w:cs="Arial"/>
          <w:i/>
          <w:iCs/>
          <w:sz w:val="20"/>
          <w:szCs w:val="20"/>
        </w:rPr>
        <w:t xml:space="preserve">E. faecium </w:t>
      </w:r>
      <w:r w:rsidR="005D2403">
        <w:rPr>
          <w:rFonts w:ascii="Arial" w:hAnsi="Arial" w:cs="Arial"/>
          <w:sz w:val="20"/>
          <w:szCs w:val="20"/>
        </w:rPr>
        <w:t xml:space="preserve">and </w:t>
      </w:r>
      <w:r w:rsidR="005D2403">
        <w:rPr>
          <w:rFonts w:ascii="Arial" w:hAnsi="Arial" w:cs="Arial"/>
          <w:i/>
          <w:iCs/>
          <w:sz w:val="20"/>
          <w:szCs w:val="20"/>
        </w:rPr>
        <w:t>E. coli</w:t>
      </w:r>
      <w:r w:rsidR="008443D2">
        <w:rPr>
          <w:rFonts w:ascii="Arial" w:hAnsi="Arial" w:cs="Arial"/>
          <w:i/>
          <w:iCs/>
          <w:sz w:val="20"/>
          <w:szCs w:val="20"/>
        </w:rPr>
        <w:t xml:space="preserve"> </w:t>
      </w:r>
      <w:r w:rsidR="008443D2" w:rsidRPr="00024FD3">
        <w:rPr>
          <w:rFonts w:ascii="Arial" w:hAnsi="Arial" w:cs="Arial"/>
          <w:sz w:val="20"/>
          <w:szCs w:val="20"/>
          <w:rPrChange w:id="33" w:author="Cascante Vega, Jaime E." w:date="2023-04-27T16:55:00Z">
            <w:rPr>
              <w:rFonts w:ascii="Arial" w:hAnsi="Arial" w:cs="Arial"/>
              <w:i/>
              <w:iCs/>
              <w:sz w:val="20"/>
              <w:szCs w:val="20"/>
            </w:rPr>
          </w:rPrChange>
        </w:rPr>
        <w:t>respectively</w:t>
      </w:r>
      <w:r w:rsidR="005D2403">
        <w:rPr>
          <w:rFonts w:ascii="Arial" w:hAnsi="Arial" w:cs="Arial"/>
          <w:sz w:val="20"/>
          <w:szCs w:val="20"/>
        </w:rPr>
        <w:t>.</w:t>
      </w:r>
      <w:del w:id="34" w:author="Cascante Vega, Jaime E." w:date="2023-04-27T15:54:00Z">
        <w:r w:rsidR="00456CA1" w:rsidDel="005D2403">
          <w:rPr>
            <w:rFonts w:ascii="Arial" w:hAnsi="Arial" w:cs="Arial"/>
            <w:sz w:val="20"/>
            <w:szCs w:val="20"/>
          </w:rPr>
          <w:delText xml:space="preserve"> </w:delText>
        </w:r>
      </w:del>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44F483F5" w14:textId="61A13056" w:rsidR="005E4095" w:rsidRDefault="005E4095" w:rsidP="009D3DD5">
      <w:pPr>
        <w:spacing w:line="360" w:lineRule="auto"/>
        <w:jc w:val="both"/>
        <w:rPr>
          <w:rFonts w:ascii="Arial" w:hAnsi="Arial" w:cs="Arial"/>
          <w:sz w:val="20"/>
          <w:szCs w:val="20"/>
        </w:rPr>
      </w:pPr>
      <w:r w:rsidRPr="00B273A6">
        <w:rPr>
          <w:rFonts w:ascii="Arial" w:hAnsi="Arial" w:cs="Arial"/>
          <w:sz w:val="20"/>
          <w:szCs w:val="20"/>
        </w:rPr>
        <w:t>We</w:t>
      </w:r>
      <w:r>
        <w:rPr>
          <w:rFonts w:ascii="Arial" w:hAnsi="Arial" w:cs="Arial"/>
          <w:sz w:val="20"/>
          <w:szCs w:val="20"/>
        </w:rPr>
        <w:t xml:space="preserve"> applied </w:t>
      </w:r>
      <w:r w:rsidRPr="00B273A6">
        <w:rPr>
          <w:rFonts w:ascii="Arial" w:hAnsi="Arial" w:cs="Arial"/>
          <w:sz w:val="20"/>
          <w:szCs w:val="20"/>
        </w:rPr>
        <w:t>the model-inference</w:t>
      </w:r>
      <w:r>
        <w:rPr>
          <w:rFonts w:ascii="Arial" w:hAnsi="Arial" w:cs="Arial"/>
          <w:sz w:val="20"/>
          <w:szCs w:val="20"/>
        </w:rPr>
        <w:t xml:space="preserve"> system</w:t>
      </w:r>
      <w:r w:rsidRPr="00B273A6">
        <w:rPr>
          <w:rFonts w:ascii="Arial" w:hAnsi="Arial" w:cs="Arial"/>
          <w:sz w:val="20"/>
          <w:szCs w:val="20"/>
        </w:rPr>
        <w:t xml:space="preserve"> to estimate the epidemiological quantities of interest </w:t>
      </w:r>
      <w:r>
        <w:rPr>
          <w:rFonts w:ascii="Arial" w:hAnsi="Arial" w:cs="Arial"/>
          <w:sz w:val="20"/>
          <w:szCs w:val="20"/>
        </w:rPr>
        <w:t>for</w:t>
      </w:r>
      <w:r w:rsidRPr="00B273A6">
        <w:rPr>
          <w:rFonts w:ascii="Arial" w:hAnsi="Arial" w:cs="Arial"/>
          <w:sz w:val="20"/>
          <w:szCs w:val="20"/>
        </w:rPr>
        <w:t xml:space="preserve"> </w:t>
      </w:r>
      <w:r>
        <w:rPr>
          <w:rFonts w:ascii="Arial" w:hAnsi="Arial" w:cs="Arial"/>
          <w:sz w:val="20"/>
          <w:szCs w:val="20"/>
        </w:rPr>
        <w:t>eight</w:t>
      </w:r>
      <w:r w:rsidRPr="00B273A6">
        <w:rPr>
          <w:rFonts w:ascii="Arial" w:hAnsi="Arial" w:cs="Arial"/>
          <w:sz w:val="20"/>
          <w:szCs w:val="20"/>
        </w:rPr>
        <w:t xml:space="preserve"> different microbial species. </w:t>
      </w:r>
      <w:r>
        <w:rPr>
          <w:rFonts w:ascii="Arial" w:hAnsi="Arial" w:cs="Arial"/>
          <w:sz w:val="20"/>
          <w:szCs w:val="20"/>
        </w:rPr>
        <w:t xml:space="preserve">Posterior estimates of the importation rate </w:t>
      </w:r>
      <m:oMath>
        <m:r>
          <w:rPr>
            <w:rFonts w:ascii="Cambria Math" w:hAnsi="Cambria Math" w:cs="Arial"/>
            <w:sz w:val="20"/>
            <w:szCs w:val="20"/>
          </w:rPr>
          <m:t>γ</m:t>
        </m:r>
      </m:oMath>
      <w:r>
        <w:rPr>
          <w:rFonts w:ascii="Arial" w:hAnsi="Arial" w:cs="Arial"/>
          <w:sz w:val="20"/>
          <w:szCs w:val="20"/>
        </w:rPr>
        <w:t xml:space="preserve"> and nosocomial transmission rate </w:t>
      </w:r>
      <m:oMath>
        <m:r>
          <w:rPr>
            <w:rFonts w:ascii="Cambria Math" w:hAnsi="Cambria Math" w:cs="Arial"/>
            <w:sz w:val="20"/>
            <w:szCs w:val="20"/>
          </w:rPr>
          <m:t>β</m:t>
        </m:r>
      </m:oMath>
      <w:r>
        <w:rPr>
          <w:rFonts w:ascii="Arial" w:hAnsi="Arial" w:cs="Arial"/>
          <w:sz w:val="20"/>
          <w:szCs w:val="20"/>
        </w:rPr>
        <w:t xml:space="preserve"> are compared in Figure </w:t>
      </w:r>
      <w:r w:rsidR="006A0BFF">
        <w:rPr>
          <w:rFonts w:ascii="Arial" w:hAnsi="Arial" w:cs="Arial"/>
          <w:sz w:val="20"/>
          <w:szCs w:val="20"/>
        </w:rPr>
        <w:t>4</w:t>
      </w:r>
      <w:r>
        <w:rPr>
          <w:rFonts w:ascii="Arial" w:hAnsi="Arial" w:cs="Arial"/>
          <w:sz w:val="20"/>
          <w:szCs w:val="20"/>
        </w:rPr>
        <w:t>A. Species are sorted from the most abundant (</w:t>
      </w:r>
      <w:r>
        <w:rPr>
          <w:rFonts w:ascii="Arial" w:hAnsi="Arial" w:cs="Arial"/>
          <w:i/>
          <w:iCs/>
          <w:sz w:val="20"/>
          <w:szCs w:val="20"/>
        </w:rPr>
        <w:t>E. coli)</w:t>
      </w:r>
      <w:r>
        <w:rPr>
          <w:rFonts w:ascii="Arial" w:hAnsi="Arial" w:cs="Arial"/>
          <w:sz w:val="20"/>
          <w:szCs w:val="20"/>
        </w:rPr>
        <w:t xml:space="preserve"> to the least (</w:t>
      </w:r>
      <w:r>
        <w:rPr>
          <w:rFonts w:ascii="Arial" w:hAnsi="Arial" w:cs="Arial"/>
          <w:i/>
          <w:iCs/>
          <w:sz w:val="20"/>
          <w:szCs w:val="20"/>
        </w:rPr>
        <w:t xml:space="preserve">E. faecalis). </w:t>
      </w:r>
      <w:r w:rsidRPr="002452CD">
        <w:rPr>
          <w:rFonts w:ascii="Arial" w:hAnsi="Arial" w:cs="Arial"/>
          <w:sz w:val="20"/>
          <w:szCs w:val="20"/>
        </w:rPr>
        <w:t xml:space="preserve">We found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importation was the highest with an estimate</w:t>
      </w:r>
      <w:r>
        <w:rPr>
          <w:rFonts w:ascii="Arial" w:hAnsi="Arial" w:cs="Arial"/>
          <w:sz w:val="20"/>
          <w:szCs w:val="20"/>
        </w:rPr>
        <w:t>d</w:t>
      </w:r>
      <w:r w:rsidRPr="002452CD">
        <w:rPr>
          <w:rFonts w:ascii="Arial" w:hAnsi="Arial" w:cs="Arial"/>
          <w:sz w:val="20"/>
          <w:szCs w:val="20"/>
        </w:rPr>
        <w:t xml:space="preserve"> 64.18% of patients entering the hospital system colonized. This</w:t>
      </w:r>
      <w:r>
        <w:rPr>
          <w:rFonts w:ascii="Arial" w:hAnsi="Arial" w:cs="Arial"/>
          <w:sz w:val="20"/>
          <w:szCs w:val="20"/>
        </w:rPr>
        <w:t xml:space="preserve"> high importation likely</w:t>
      </w:r>
      <w:r w:rsidRPr="002452CD">
        <w:rPr>
          <w:rFonts w:ascii="Arial" w:hAnsi="Arial" w:cs="Arial"/>
          <w:sz w:val="20"/>
          <w:szCs w:val="20"/>
        </w:rPr>
        <w:t xml:space="preserve"> reflects high community prevalence</w:t>
      </w:r>
      <w:r>
        <w:rPr>
          <w:rFonts w:ascii="Arial" w:hAnsi="Arial" w:cs="Arial"/>
          <w:sz w:val="20"/>
          <w:szCs w:val="20"/>
        </w:rPr>
        <w:t>, which is in line with empirical findings</w:t>
      </w:r>
      <w:r w:rsidR="00721A44">
        <w:rPr>
          <w:rFonts w:ascii="Arial" w:hAnsi="Arial" w:cs="Arial"/>
          <w:sz w:val="20"/>
          <w:szCs w:val="20"/>
        </w:rPr>
        <w:t xml:space="preserve"> </w:t>
      </w:r>
      <w:r>
        <w:rPr>
          <w:rFonts w:ascii="Arial" w:hAnsi="Arial" w:cs="Arial"/>
          <w:sz w:val="20"/>
          <w:szCs w:val="20"/>
        </w:rPr>
        <w:fldChar w:fldCharType="begin"/>
      </w:r>
      <w:r w:rsidR="00557045">
        <w:rPr>
          <w:rFonts w:ascii="Arial" w:hAnsi="Arial" w:cs="Arial"/>
          <w:sz w:val="20"/>
          <w:szCs w:val="20"/>
        </w:rPr>
        <w:instrText xml:space="preserve"> ADDIN ZOTERO_ITEM CSL_CITATION {"citationID":"wqGoTMTv","properties":{"formattedCitation":"\\super 35\\nosupersub{}","plainCitation":"35","noteIndex":0},"citationItems":[{"id":366,"uris":["http://zotero.org/users/9551388/items/U5Z9BGT4"],"itemData":{"id":366,"type":"article-journal","abstract":"Purpose: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35</w:t>
      </w:r>
      <w:r>
        <w:rPr>
          <w:rFonts w:ascii="Arial" w:hAnsi="Arial" w:cs="Arial"/>
          <w:sz w:val="20"/>
          <w:szCs w:val="20"/>
        </w:rPr>
        <w:fldChar w:fldCharType="end"/>
      </w:r>
      <w:r w:rsidRPr="002452CD">
        <w:rPr>
          <w:rFonts w:ascii="Arial" w:hAnsi="Arial" w:cs="Arial"/>
          <w:sz w:val="20"/>
          <w:szCs w:val="20"/>
        </w:rPr>
        <w:t xml:space="preserve">. </w:t>
      </w:r>
      <w:r w:rsidRPr="005627F3">
        <w:rPr>
          <w:rFonts w:ascii="Arial" w:hAnsi="Arial" w:cs="Arial"/>
          <w:i/>
          <w:iCs/>
          <w:sz w:val="20"/>
          <w:szCs w:val="20"/>
        </w:rPr>
        <w:t xml:space="preserve">E. </w:t>
      </w:r>
      <w:r>
        <w:rPr>
          <w:rFonts w:ascii="Arial" w:hAnsi="Arial" w:cs="Arial"/>
          <w:i/>
          <w:iCs/>
          <w:sz w:val="20"/>
          <w:szCs w:val="20"/>
        </w:rPr>
        <w:t>c</w:t>
      </w:r>
      <w:r w:rsidRPr="005627F3">
        <w:rPr>
          <w:rFonts w:ascii="Arial" w:hAnsi="Arial" w:cs="Arial"/>
          <w:i/>
          <w:iCs/>
          <w:sz w:val="20"/>
          <w:szCs w:val="20"/>
        </w:rPr>
        <w:t>oli</w:t>
      </w:r>
      <w:r w:rsidRPr="002452CD">
        <w:rPr>
          <w:rFonts w:ascii="Arial" w:hAnsi="Arial" w:cs="Arial"/>
          <w:sz w:val="20"/>
          <w:szCs w:val="20"/>
        </w:rPr>
        <w:t xml:space="preserve"> was followed by </w:t>
      </w:r>
      <w:r>
        <w:rPr>
          <w:rFonts w:ascii="Arial" w:hAnsi="Arial" w:cs="Arial"/>
          <w:i/>
          <w:iCs/>
          <w:sz w:val="20"/>
          <w:szCs w:val="20"/>
        </w:rPr>
        <w:t>K.</w:t>
      </w:r>
      <w:r w:rsidRPr="005C1095">
        <w:rPr>
          <w:rFonts w:ascii="Arial" w:hAnsi="Arial" w:cs="Arial"/>
          <w:i/>
          <w:iCs/>
          <w:sz w:val="20"/>
          <w:szCs w:val="20"/>
        </w:rPr>
        <w:t xml:space="preserve"> </w:t>
      </w:r>
      <w:r>
        <w:rPr>
          <w:rFonts w:ascii="Arial" w:hAnsi="Arial" w:cs="Arial"/>
          <w:i/>
          <w:iCs/>
          <w:sz w:val="20"/>
          <w:szCs w:val="20"/>
        </w:rPr>
        <w:t>p</w:t>
      </w:r>
      <w:r w:rsidRPr="005C1095">
        <w:rPr>
          <w:rFonts w:ascii="Arial" w:hAnsi="Arial" w:cs="Arial"/>
          <w:i/>
          <w:iCs/>
          <w:sz w:val="20"/>
          <w:szCs w:val="20"/>
        </w:rPr>
        <w:t>neumoniae</w:t>
      </w:r>
      <w:r w:rsidRPr="002452CD">
        <w:rPr>
          <w:rFonts w:ascii="Arial" w:hAnsi="Arial" w:cs="Arial"/>
          <w:sz w:val="20"/>
          <w:szCs w:val="20"/>
        </w:rPr>
        <w:t xml:space="preserve"> with an importation rate of 25.61%, and MSSA at 14.48% (Figure </w:t>
      </w:r>
      <w:r w:rsidR="006A0BFF">
        <w:rPr>
          <w:rFonts w:ascii="Arial" w:hAnsi="Arial" w:cs="Arial"/>
          <w:sz w:val="20"/>
          <w:szCs w:val="20"/>
        </w:rPr>
        <w:t>4</w:t>
      </w:r>
      <w:r w:rsidRPr="002452CD">
        <w:rPr>
          <w:rFonts w:ascii="Arial" w:hAnsi="Arial" w:cs="Arial"/>
          <w:sz w:val="20"/>
          <w:szCs w:val="20"/>
        </w:rPr>
        <w:t xml:space="preserve">A). We found similar importation rates for MRSA,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w:t>
      </w:r>
      <w:r>
        <w:rPr>
          <w:rFonts w:ascii="Arial" w:hAnsi="Arial" w:cs="Arial"/>
          <w:i/>
          <w:iCs/>
          <w:sz w:val="20"/>
          <w:szCs w:val="20"/>
        </w:rPr>
        <w:t>S</w:t>
      </w:r>
      <w:r w:rsidRPr="005C1095">
        <w:rPr>
          <w:rFonts w:ascii="Arial" w:hAnsi="Arial" w:cs="Arial"/>
          <w:i/>
          <w:iCs/>
          <w:sz w:val="20"/>
          <w:szCs w:val="20"/>
        </w:rPr>
        <w:t xml:space="preserve">. </w:t>
      </w:r>
      <w:r>
        <w:rPr>
          <w:rFonts w:ascii="Arial" w:hAnsi="Arial" w:cs="Arial"/>
          <w:i/>
          <w:iCs/>
          <w:sz w:val="20"/>
          <w:szCs w:val="20"/>
        </w:rPr>
        <w:t>e</w:t>
      </w:r>
      <w:r w:rsidRPr="005C1095">
        <w:rPr>
          <w:rFonts w:ascii="Arial" w:hAnsi="Arial" w:cs="Arial"/>
          <w:i/>
          <w:iCs/>
          <w:sz w:val="20"/>
          <w:szCs w:val="20"/>
        </w:rPr>
        <w:t>pidermi</w:t>
      </w:r>
      <w:r>
        <w:rPr>
          <w:rFonts w:ascii="Arial" w:hAnsi="Arial" w:cs="Arial"/>
          <w:i/>
          <w:iCs/>
          <w:sz w:val="20"/>
          <w:szCs w:val="20"/>
        </w:rPr>
        <w:t>di</w:t>
      </w:r>
      <w:r w:rsidRPr="005C1095">
        <w:rPr>
          <w:rFonts w:ascii="Arial" w:hAnsi="Arial" w:cs="Arial"/>
          <w:i/>
          <w:iCs/>
          <w:sz w:val="20"/>
          <w:szCs w:val="20"/>
        </w:rPr>
        <w:t>s</w:t>
      </w:r>
      <w:r w:rsidRPr="002452CD">
        <w:rPr>
          <w:rFonts w:ascii="Arial" w:hAnsi="Arial" w:cs="Arial"/>
          <w:sz w:val="20"/>
          <w:szCs w:val="20"/>
        </w:rPr>
        <w:t xml:space="preserve"> of around 10.5%.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w:t>
      </w:r>
      <w:r>
        <w:rPr>
          <w:rFonts w:ascii="Arial" w:hAnsi="Arial" w:cs="Arial"/>
          <w:i/>
          <w:iCs/>
          <w:sz w:val="20"/>
          <w:szCs w:val="20"/>
        </w:rPr>
        <w:t>s</w:t>
      </w:r>
      <w:r w:rsidRPr="005C1095">
        <w:rPr>
          <w:rFonts w:ascii="Arial" w:hAnsi="Arial" w:cs="Arial"/>
          <w:i/>
          <w:iCs/>
          <w:sz w:val="20"/>
          <w:szCs w:val="20"/>
        </w:rPr>
        <w:t>a</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had slightly lower estimated importation rates of 9.9%. While the estimates for importation rates across organism</w:t>
      </w:r>
      <w:r>
        <w:rPr>
          <w:rFonts w:ascii="Arial" w:hAnsi="Arial" w:cs="Arial"/>
          <w:sz w:val="20"/>
          <w:szCs w:val="20"/>
        </w:rPr>
        <w:t>s</w:t>
      </w:r>
      <w:r w:rsidRPr="002452CD">
        <w:rPr>
          <w:rFonts w:ascii="Arial" w:hAnsi="Arial" w:cs="Arial"/>
          <w:sz w:val="20"/>
          <w:szCs w:val="20"/>
        </w:rPr>
        <w:t xml:space="preserve"> </w:t>
      </w:r>
      <w:r>
        <w:rPr>
          <w:rFonts w:ascii="Arial" w:hAnsi="Arial" w:cs="Arial"/>
          <w:sz w:val="20"/>
          <w:szCs w:val="20"/>
        </w:rPr>
        <w:t>match the frequency of detection</w:t>
      </w:r>
      <w:r w:rsidRPr="002452CD">
        <w:rPr>
          <w:rFonts w:ascii="Arial" w:hAnsi="Arial" w:cs="Arial"/>
          <w:sz w:val="20"/>
          <w:szCs w:val="20"/>
        </w:rPr>
        <w:t xml:space="preserve"> across the hospital network, nosocomial transmission </w:t>
      </w:r>
      <w:r>
        <w:rPr>
          <w:rFonts w:ascii="Arial" w:hAnsi="Arial" w:cs="Arial"/>
          <w:sz w:val="20"/>
          <w:szCs w:val="20"/>
        </w:rPr>
        <w:t>rates differ</w:t>
      </w:r>
      <w:r w:rsidRPr="002452CD">
        <w:rPr>
          <w:rFonts w:ascii="Arial" w:hAnsi="Arial" w:cs="Arial"/>
          <w:sz w:val="20"/>
          <w:szCs w:val="20"/>
        </w:rPr>
        <w:t>. We estimate</w:t>
      </w:r>
      <w:r w:rsidR="006D492D">
        <w:rPr>
          <w:rFonts w:ascii="Arial" w:hAnsi="Arial" w:cs="Arial"/>
          <w:sz w:val="20"/>
          <w:szCs w:val="20"/>
        </w:rPr>
        <w:t>d</w:t>
      </w:r>
      <w:r w:rsidRPr="002452CD">
        <w:rPr>
          <w:rFonts w:ascii="Arial" w:hAnsi="Arial" w:cs="Arial"/>
          <w:sz w:val="20"/>
          <w:szCs w:val="20"/>
        </w:rPr>
        <w:t xml:space="preserve">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eruginosa</w:t>
      </w:r>
      <w:r w:rsidRPr="002452CD">
        <w:rPr>
          <w:rFonts w:ascii="Arial" w:hAnsi="Arial" w:cs="Arial"/>
          <w:sz w:val="20"/>
          <w:szCs w:val="20"/>
        </w:rPr>
        <w:t xml:space="preserve"> had the highest nosocomial transmission rate, followed by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MSSA. We found nosocomial transmission rates for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were the lowest with rates less than 0.005 per capita</w:t>
      </w:r>
      <w:r>
        <w:rPr>
          <w:rFonts w:ascii="Arial" w:hAnsi="Arial" w:cs="Arial"/>
          <w:sz w:val="20"/>
          <w:szCs w:val="20"/>
        </w:rPr>
        <w:t xml:space="preserve"> per day</w:t>
      </w:r>
      <w:r w:rsidRPr="002452CD">
        <w:rPr>
          <w:rFonts w:ascii="Arial" w:hAnsi="Arial" w:cs="Arial"/>
          <w:sz w:val="20"/>
          <w:szCs w:val="20"/>
        </w:rPr>
        <w:t xml:space="preserve">. Table 2 shows all the </w:t>
      </w:r>
      <w:r>
        <w:rPr>
          <w:rFonts w:ascii="Arial" w:hAnsi="Arial" w:cs="Arial"/>
          <w:sz w:val="20"/>
          <w:szCs w:val="20"/>
        </w:rPr>
        <w:t>posterior</w:t>
      </w:r>
      <w:r w:rsidRPr="002452CD">
        <w:rPr>
          <w:rFonts w:ascii="Arial" w:hAnsi="Arial" w:cs="Arial"/>
          <w:sz w:val="20"/>
          <w:szCs w:val="20"/>
        </w:rPr>
        <w:t xml:space="preserve"> </w:t>
      </w:r>
      <w:r>
        <w:rPr>
          <w:rFonts w:ascii="Arial" w:hAnsi="Arial" w:cs="Arial"/>
          <w:sz w:val="20"/>
          <w:szCs w:val="20"/>
        </w:rPr>
        <w:t>estimates</w:t>
      </w:r>
      <w:r w:rsidRPr="002452CD">
        <w:rPr>
          <w:rFonts w:ascii="Arial" w:hAnsi="Arial" w:cs="Arial"/>
          <w:sz w:val="20"/>
          <w:szCs w:val="20"/>
        </w:rPr>
        <w:t xml:space="preserve"> for importation and nosocomial contact rates.</w:t>
      </w:r>
    </w:p>
    <w:p w14:paraId="302788DC" w14:textId="7B07412A" w:rsidR="005E4095" w:rsidRPr="005E4095" w:rsidRDefault="005E4095" w:rsidP="009D3DD5">
      <w:pPr>
        <w:spacing w:line="360" w:lineRule="auto"/>
        <w:jc w:val="both"/>
        <w:rPr>
          <w:rFonts w:ascii="Arial" w:hAnsi="Arial" w:cs="Arial"/>
          <w:sz w:val="20"/>
          <w:szCs w:val="20"/>
        </w:rPr>
      </w:pPr>
      <w:r>
        <w:rPr>
          <w:rFonts w:ascii="Arial" w:hAnsi="Arial" w:cs="Arial"/>
          <w:sz w:val="20"/>
          <w:szCs w:val="20"/>
        </w:rPr>
        <w:t xml:space="preserve">To assess the goodness-of-fit of the model to the data, we simulated the dynamics using the posterior estimates of parameters and found that simulated detected positive cases span the observed numbers at the </w:t>
      </w:r>
      <w:r w:rsidR="00132CE3">
        <w:rPr>
          <w:rFonts w:ascii="Arial" w:hAnsi="Arial" w:cs="Arial"/>
          <w:sz w:val="20"/>
          <w:szCs w:val="20"/>
        </w:rPr>
        <w:t xml:space="preserve">hospital and </w:t>
      </w:r>
      <w:r>
        <w:rPr>
          <w:rFonts w:ascii="Arial" w:hAnsi="Arial" w:cs="Arial"/>
          <w:sz w:val="20"/>
          <w:szCs w:val="20"/>
        </w:rPr>
        <w:t xml:space="preserve">ward cluster level (Figure </w:t>
      </w:r>
      <w:r w:rsidR="006A0BFF">
        <w:rPr>
          <w:rFonts w:ascii="Arial" w:hAnsi="Arial" w:cs="Arial"/>
          <w:sz w:val="20"/>
          <w:szCs w:val="20"/>
        </w:rPr>
        <w:t>4</w:t>
      </w:r>
      <w:r>
        <w:rPr>
          <w:rFonts w:ascii="Arial" w:hAnsi="Arial" w:cs="Arial"/>
          <w:sz w:val="20"/>
          <w:szCs w:val="20"/>
        </w:rPr>
        <w:t>B-C right column</w:t>
      </w:r>
      <w:r w:rsidR="00132CE3">
        <w:rPr>
          <w:rFonts w:ascii="Arial" w:hAnsi="Arial" w:cs="Arial"/>
          <w:sz w:val="20"/>
          <w:szCs w:val="20"/>
        </w:rPr>
        <w:t xml:space="preserve"> and Figure S</w:t>
      </w:r>
      <w:r w:rsidR="003D6104">
        <w:rPr>
          <w:rFonts w:ascii="Arial" w:hAnsi="Arial" w:cs="Arial"/>
          <w:sz w:val="20"/>
          <w:szCs w:val="20"/>
        </w:rPr>
        <w:t>6</w:t>
      </w:r>
      <w:r>
        <w:rPr>
          <w:rFonts w:ascii="Arial" w:hAnsi="Arial" w:cs="Arial"/>
          <w:sz w:val="20"/>
          <w:szCs w:val="20"/>
        </w:rPr>
        <w:t xml:space="preserve">). We also produced reliability plots to examine whether the uncertainty in the observed data can be </w:t>
      </w:r>
      <w:r>
        <w:rPr>
          <w:rFonts w:ascii="Arial" w:hAnsi="Arial" w:cs="Arial"/>
          <w:sz w:val="20"/>
          <w:szCs w:val="20"/>
        </w:rPr>
        <w:lastRenderedPageBreak/>
        <w:t xml:space="preserve">reproduced by model simulations. Specifically, we computed the percentage of observations falling within a given </w:t>
      </w:r>
      <w:r w:rsidR="00891071">
        <w:rPr>
          <w:rFonts w:ascii="Arial" w:hAnsi="Arial" w:cs="Arial"/>
          <w:sz w:val="20"/>
          <w:szCs w:val="20"/>
        </w:rPr>
        <w:t xml:space="preserve">credible </w:t>
      </w:r>
      <w:r>
        <w:rPr>
          <w:rFonts w:ascii="Arial" w:hAnsi="Arial" w:cs="Arial"/>
          <w:sz w:val="20"/>
          <w:szCs w:val="20"/>
        </w:rPr>
        <w:t>interval (CI) of the quantity obtained from model simulations. For a perfectly calibrated simulation, X% of observed values</w:t>
      </w:r>
      <w:r w:rsidDel="00541C0D">
        <w:rPr>
          <w:rFonts w:ascii="Arial" w:hAnsi="Arial" w:cs="Arial"/>
          <w:sz w:val="20"/>
          <w:szCs w:val="20"/>
        </w:rPr>
        <w:t xml:space="preserve"> </w:t>
      </w:r>
      <w:r>
        <w:rPr>
          <w:rFonts w:ascii="Arial" w:hAnsi="Arial" w:cs="Arial"/>
          <w:sz w:val="20"/>
          <w:szCs w:val="20"/>
        </w:rPr>
        <w:t>should fall within the X% CI generated by model simulations, producing a diagonal line (y=x) in the reliability plot. We found that the coverage of simulated CIs is slightly below expected values (under the diagonal line), indicating an uncertainty level biased low (Fig. 5D)</w:t>
      </w:r>
      <w:r w:rsidR="00891071">
        <w:rPr>
          <w:rFonts w:ascii="Arial" w:hAnsi="Arial" w:cs="Arial"/>
          <w:sz w:val="20"/>
          <w:szCs w:val="20"/>
        </w:rPr>
        <w:t>, possibly</w:t>
      </w:r>
      <w:r>
        <w:rPr>
          <w:rFonts w:ascii="Arial" w:hAnsi="Arial" w:cs="Arial"/>
          <w:sz w:val="20"/>
          <w:szCs w:val="20"/>
        </w:rPr>
        <w:t xml:space="preserve"> due to </w:t>
      </w:r>
      <w:r w:rsidR="00891071">
        <w:rPr>
          <w:rFonts w:ascii="Arial" w:hAnsi="Arial" w:cs="Arial"/>
          <w:sz w:val="20"/>
          <w:szCs w:val="20"/>
        </w:rPr>
        <w:t xml:space="preserve">stochastic </w:t>
      </w:r>
      <w:r>
        <w:rPr>
          <w:rFonts w:ascii="Arial" w:hAnsi="Arial" w:cs="Arial"/>
          <w:sz w:val="20"/>
          <w:szCs w:val="20"/>
        </w:rPr>
        <w:t>processes not represented in the model. The model simulations allow estimation of the relative contributions of importation and nosocomial transmission to the overall burden of different species. We found that importation plays a more important role than nosocomial transmission for all species</w:t>
      </w:r>
      <w:r w:rsidR="002F1B0A">
        <w:rPr>
          <w:rFonts w:ascii="Arial" w:hAnsi="Arial" w:cs="Arial"/>
          <w:sz w:val="20"/>
          <w:szCs w:val="20"/>
        </w:rPr>
        <w:t xml:space="preserve"> examined</w:t>
      </w:r>
      <w:r>
        <w:rPr>
          <w:rFonts w:ascii="Arial" w:hAnsi="Arial" w:cs="Arial"/>
          <w:sz w:val="20"/>
          <w:szCs w:val="20"/>
        </w:rPr>
        <w:t xml:space="preserve"> (Fig. </w:t>
      </w:r>
      <w:r w:rsidR="006A0BFF">
        <w:rPr>
          <w:rFonts w:ascii="Arial" w:hAnsi="Arial" w:cs="Arial"/>
          <w:sz w:val="20"/>
          <w:szCs w:val="20"/>
        </w:rPr>
        <w:t>5</w:t>
      </w:r>
      <w:r>
        <w:rPr>
          <w:rFonts w:ascii="Arial" w:hAnsi="Arial" w:cs="Arial"/>
          <w:sz w:val="20"/>
          <w:szCs w:val="20"/>
        </w:rPr>
        <w:t>).</w:t>
      </w:r>
    </w:p>
    <w:p w14:paraId="01785B12" w14:textId="357D15A2" w:rsidR="00980C22" w:rsidRPr="00F649EE" w:rsidRDefault="005E4095" w:rsidP="009914B1">
      <w:pPr>
        <w:spacing w:line="360" w:lineRule="auto"/>
        <w:jc w:val="both"/>
        <w:rPr>
          <w:rFonts w:ascii="Arial" w:hAnsi="Arial" w:cs="Arial"/>
          <w:color w:val="000000"/>
          <w:sz w:val="20"/>
          <w:szCs w:val="20"/>
        </w:rPr>
      </w:pPr>
      <w:r>
        <w:rPr>
          <w:rFonts w:ascii="Arial" w:hAnsi="Arial" w:cs="Arial"/>
          <w:iCs/>
          <w:sz w:val="20"/>
          <w:szCs w:val="20"/>
        </w:rPr>
        <w:t>To assess the robustness of the parameters estimates to specimens collected from specific body sites, we repeated the previous analyses using subsets of the data that excluded observations from one of the 5 body sites (See Methods sections). We found, excepting one instance, that the estimates remain similar. The exception corresponds to the instance in which the body site with the most observed positive cultures of each species was excluded (See Figure</w:t>
      </w:r>
      <w:r w:rsidR="004B4E9F">
        <w:rPr>
          <w:rFonts w:ascii="Arial" w:hAnsi="Arial" w:cs="Arial"/>
          <w:iCs/>
          <w:sz w:val="20"/>
          <w:szCs w:val="20"/>
        </w:rPr>
        <w:t>s</w:t>
      </w:r>
      <w:r w:rsidR="004916EC">
        <w:rPr>
          <w:rFonts w:ascii="Arial" w:hAnsi="Arial" w:cs="Arial"/>
          <w:iCs/>
          <w:sz w:val="20"/>
          <w:szCs w:val="20"/>
        </w:rPr>
        <w:t xml:space="preserve"> S</w:t>
      </w:r>
      <w:r w:rsidR="00ED7842">
        <w:rPr>
          <w:rFonts w:ascii="Arial" w:hAnsi="Arial" w:cs="Arial"/>
          <w:iCs/>
          <w:sz w:val="20"/>
          <w:szCs w:val="20"/>
        </w:rPr>
        <w:t>7</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8</w:t>
      </w:r>
      <w:r>
        <w:rPr>
          <w:rFonts w:ascii="Arial" w:hAnsi="Arial" w:cs="Arial"/>
          <w:iCs/>
          <w:sz w:val="20"/>
          <w:szCs w:val="20"/>
        </w:rPr>
        <w:t>). For example, the estimates of both importation and nosocomial transmission rates changed when urine</w:t>
      </w:r>
      <w:r w:rsidR="008C3CA7">
        <w:rPr>
          <w:rFonts w:ascii="Arial" w:hAnsi="Arial" w:cs="Arial"/>
          <w:iCs/>
          <w:sz w:val="20"/>
          <w:szCs w:val="20"/>
        </w:rPr>
        <w:t xml:space="preserve"> </w:t>
      </w:r>
      <w:r>
        <w:rPr>
          <w:rFonts w:ascii="Arial" w:hAnsi="Arial" w:cs="Arial"/>
          <w:iCs/>
          <w:sz w:val="20"/>
          <w:szCs w:val="20"/>
        </w:rPr>
        <w:t xml:space="preserve">observations were dropped for </w:t>
      </w:r>
      <w:r>
        <w:rPr>
          <w:rFonts w:ascii="Arial" w:hAnsi="Arial" w:cs="Arial"/>
          <w:i/>
          <w:sz w:val="20"/>
          <w:szCs w:val="20"/>
        </w:rPr>
        <w:t>E. coli, C. albicans, K.</w:t>
      </w:r>
      <w:r w:rsidRPr="00DD7BDE">
        <w:rPr>
          <w:rFonts w:ascii="Arial" w:hAnsi="Arial" w:cs="Arial"/>
          <w:i/>
          <w:sz w:val="20"/>
          <w:szCs w:val="20"/>
        </w:rPr>
        <w:t xml:space="preserve"> </w:t>
      </w:r>
      <w:r>
        <w:rPr>
          <w:rFonts w:ascii="Arial" w:hAnsi="Arial" w:cs="Arial"/>
          <w:i/>
          <w:sz w:val="20"/>
          <w:szCs w:val="20"/>
        </w:rPr>
        <w:t>p</w:t>
      </w:r>
      <w:r w:rsidRPr="00DD7BDE">
        <w:rPr>
          <w:rFonts w:ascii="Arial" w:hAnsi="Arial" w:cs="Arial"/>
          <w:i/>
          <w:sz w:val="20"/>
          <w:szCs w:val="20"/>
        </w:rPr>
        <w:t>neumonia</w:t>
      </w:r>
      <w:r>
        <w:rPr>
          <w:rFonts w:ascii="Arial" w:hAnsi="Arial" w:cs="Arial"/>
          <w:i/>
          <w:sz w:val="20"/>
          <w:szCs w:val="20"/>
        </w:rPr>
        <w:t>e</w:t>
      </w:r>
      <w:r>
        <w:rPr>
          <w:rFonts w:ascii="Arial" w:hAnsi="Arial" w:cs="Arial"/>
          <w:iCs/>
          <w:sz w:val="20"/>
          <w:szCs w:val="20"/>
        </w:rPr>
        <w:t xml:space="preserve">, and </w:t>
      </w:r>
      <w:r>
        <w:rPr>
          <w:rFonts w:ascii="Arial" w:hAnsi="Arial" w:cs="Arial"/>
          <w:i/>
          <w:sz w:val="20"/>
          <w:szCs w:val="20"/>
        </w:rPr>
        <w:t>E.</w:t>
      </w:r>
      <w:r w:rsidR="008F53F8">
        <w:rPr>
          <w:rFonts w:ascii="Arial" w:hAnsi="Arial" w:cs="Arial"/>
          <w:i/>
          <w:sz w:val="20"/>
          <w:szCs w:val="20"/>
        </w:rPr>
        <w:t xml:space="preserve"> faecalis</w:t>
      </w:r>
      <w:r>
        <w:rPr>
          <w:rFonts w:ascii="Arial" w:hAnsi="Arial" w:cs="Arial"/>
          <w:iCs/>
          <w:sz w:val="20"/>
          <w:szCs w:val="20"/>
        </w:rPr>
        <w:t>, leaving only a small fraction of observations for use in the inference. Finally, we found the parameter estimates were unchanged when excluding outpatient wards (See Figure</w:t>
      </w:r>
      <w:r w:rsidR="004B4E9F">
        <w:rPr>
          <w:rFonts w:ascii="Arial" w:hAnsi="Arial" w:cs="Arial"/>
          <w:iCs/>
          <w:sz w:val="20"/>
          <w:szCs w:val="20"/>
        </w:rPr>
        <w:t>s</w:t>
      </w:r>
      <w:r>
        <w:rPr>
          <w:rFonts w:ascii="Arial" w:hAnsi="Arial" w:cs="Arial"/>
          <w:iCs/>
          <w:sz w:val="20"/>
          <w:szCs w:val="20"/>
        </w:rPr>
        <w:t xml:space="preserve"> </w:t>
      </w:r>
      <w:r w:rsidR="004916EC">
        <w:rPr>
          <w:rFonts w:ascii="Arial" w:hAnsi="Arial" w:cs="Arial"/>
          <w:iCs/>
          <w:sz w:val="20"/>
          <w:szCs w:val="20"/>
        </w:rPr>
        <w:t>S</w:t>
      </w:r>
      <w:r w:rsidR="00ED7842">
        <w:rPr>
          <w:rFonts w:ascii="Arial" w:hAnsi="Arial" w:cs="Arial"/>
          <w:iCs/>
          <w:sz w:val="20"/>
          <w:szCs w:val="20"/>
        </w:rPr>
        <w:t>9</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10</w:t>
      </w:r>
      <w:r>
        <w:rPr>
          <w:rFonts w:ascii="Arial" w:hAnsi="Arial" w:cs="Arial"/>
          <w:iCs/>
          <w:sz w:val="20"/>
          <w:szCs w:val="20"/>
        </w:rPr>
        <w:t>).</w:t>
      </w:r>
    </w:p>
    <w:p w14:paraId="014A7FBC" w14:textId="6180E063"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D3DD5">
      <w:pPr>
        <w:pBdr>
          <w:top w:val="nil"/>
          <w:left w:val="nil"/>
          <w:bottom w:val="nil"/>
          <w:right w:val="nil"/>
          <w:between w:val="nil"/>
        </w:pBdr>
        <w:spacing w:after="0" w:line="360" w:lineRule="auto"/>
        <w:contextualSpacing/>
        <w:rPr>
          <w:rFonts w:ascii="Arial" w:hAnsi="Arial" w:cs="Arial"/>
          <w:color w:val="000000"/>
          <w:sz w:val="20"/>
          <w:szCs w:val="20"/>
        </w:rPr>
      </w:pPr>
    </w:p>
    <w:p w14:paraId="528302B7" w14:textId="1AB3AB84" w:rsidR="005E4095" w:rsidRDefault="005E4095" w:rsidP="009D3DD5">
      <w:pPr>
        <w:spacing w:line="360" w:lineRule="auto"/>
        <w:jc w:val="both"/>
        <w:rPr>
          <w:rFonts w:ascii="Arial" w:hAnsi="Arial" w:cs="Arial"/>
          <w:iCs/>
          <w:sz w:val="20"/>
          <w:szCs w:val="20"/>
        </w:rPr>
      </w:pPr>
      <w:r>
        <w:rPr>
          <w:rFonts w:ascii="Arial" w:hAnsi="Arial" w:cs="Arial"/>
          <w:iCs/>
          <w:sz w:val="20"/>
          <w:szCs w:val="20"/>
        </w:rPr>
        <w:t>The epidemiological properties of microorganisms present in hospitals are difficult to quantify. Estimating these epidemiological properties can distinguish the roles of different mechanisms of transmission, such as community importation and nosocomial transmission, and help support improved control in healthcare systems. In this paper, we used an agent-based model informed by patient hospitalization records and culture testing results from a large hospital system in New York City to study eight co-circulating microbial species. We coupled this model with an inference algorithm to estimate importation and nosocomial transmission rates for these organisms and found substantial variation in community prevalence and within-hospital transmission.</w:t>
      </w:r>
    </w:p>
    <w:p w14:paraId="7238BE2D" w14:textId="5359D40E" w:rsidR="005E4095" w:rsidRDefault="005E4095" w:rsidP="009D3DD5">
      <w:pPr>
        <w:spacing w:line="360" w:lineRule="auto"/>
        <w:jc w:val="both"/>
        <w:rPr>
          <w:rFonts w:ascii="Arial" w:hAnsi="Arial" w:cs="Arial"/>
          <w:sz w:val="20"/>
          <w:szCs w:val="20"/>
        </w:rPr>
      </w:pPr>
      <w:r>
        <w:rPr>
          <w:rFonts w:ascii="Arial" w:hAnsi="Arial" w:cs="Arial"/>
          <w:iCs/>
          <w:sz w:val="20"/>
          <w:szCs w:val="20"/>
        </w:rPr>
        <w:t xml:space="preserve">Our findings echo several </w:t>
      </w:r>
      <w:r>
        <w:rPr>
          <w:rFonts w:ascii="Arial" w:hAnsi="Arial" w:cs="Arial"/>
          <w:sz w:val="20"/>
          <w:szCs w:val="20"/>
        </w:rPr>
        <w:t xml:space="preserve">previous observations about the transmission of different microorganisms. The difference in nosocomial transmission rates among resistant and sensitive strains of </w:t>
      </w:r>
      <w:r w:rsidRPr="00DD7BDE">
        <w:rPr>
          <w:rFonts w:ascii="Arial" w:hAnsi="Arial" w:cs="Arial"/>
          <w:i/>
          <w:iCs/>
          <w:sz w:val="20"/>
          <w:szCs w:val="20"/>
        </w:rPr>
        <w:t xml:space="preserve">S. </w:t>
      </w:r>
      <w:r>
        <w:rPr>
          <w:rFonts w:ascii="Arial" w:hAnsi="Arial" w:cs="Arial"/>
          <w:i/>
          <w:iCs/>
          <w:sz w:val="20"/>
          <w:szCs w:val="20"/>
        </w:rPr>
        <w:t>a</w:t>
      </w:r>
      <w:r w:rsidRPr="00DD7BDE">
        <w:rPr>
          <w:rFonts w:ascii="Arial" w:hAnsi="Arial" w:cs="Arial"/>
          <w:i/>
          <w:iCs/>
          <w:sz w:val="20"/>
          <w:szCs w:val="20"/>
        </w:rPr>
        <w:t>ureus</w:t>
      </w:r>
      <w:r>
        <w:rPr>
          <w:rFonts w:ascii="Arial" w:hAnsi="Arial" w:cs="Arial"/>
          <w:sz w:val="20"/>
          <w:szCs w:val="20"/>
        </w:rPr>
        <w:t xml:space="preserve"> is potentially explained by the relative fitness of the two strains. It has been reported that resistance generates a decrease in fitness with respect to the sensitive strain, making it less transmissible </w:t>
      </w:r>
      <w:r>
        <w:rPr>
          <w:rFonts w:ascii="Arial" w:hAnsi="Arial" w:cs="Arial"/>
          <w:sz w:val="20"/>
          <w:szCs w:val="20"/>
        </w:rPr>
        <w:fldChar w:fldCharType="begin"/>
      </w:r>
      <w:r w:rsidR="00557045">
        <w:rPr>
          <w:rFonts w:ascii="Arial" w:hAnsi="Arial" w:cs="Arial"/>
          <w:sz w:val="20"/>
          <w:szCs w:val="20"/>
        </w:rPr>
        <w:instrText xml:space="preserve"> ADDIN ZOTERO_ITEM CSL_CITATION {"citationID":"8M2ziEuQ","properties":{"formattedCitation":"\\super 1,16,23\\nosupersub{}","plainCitation":"1,16,23","noteIndex":0},"citationItems":[{"id":181,"uris":["http://zotero.org/users/9551388/items/HFMXTG7L"],"itemData":{"id":181,"type":"article-journal","container-title":"Emerging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1,16,23</w:t>
      </w:r>
      <w:r>
        <w:rPr>
          <w:rFonts w:ascii="Arial" w:hAnsi="Arial" w:cs="Arial"/>
          <w:sz w:val="20"/>
          <w:szCs w:val="20"/>
        </w:rPr>
        <w:fldChar w:fldCharType="end"/>
      </w:r>
      <w:r>
        <w:rPr>
          <w:rFonts w:ascii="Arial" w:hAnsi="Arial" w:cs="Arial"/>
          <w:sz w:val="20"/>
          <w:szCs w:val="20"/>
        </w:rPr>
        <w:t xml:space="preserve"> consistent with our findings here. </w:t>
      </w:r>
      <w:r w:rsidR="00671489">
        <w:rPr>
          <w:rFonts w:ascii="Arial" w:hAnsi="Arial" w:cs="Arial"/>
          <w:sz w:val="20"/>
          <w:szCs w:val="20"/>
        </w:rPr>
        <w:t>Our model-inference system</w:t>
      </w:r>
      <w:r w:rsidR="000446EF">
        <w:rPr>
          <w:rFonts w:ascii="Arial" w:hAnsi="Arial" w:cs="Arial"/>
          <w:sz w:val="20"/>
          <w:szCs w:val="20"/>
        </w:rPr>
        <w:t xml:space="preserve"> </w:t>
      </w:r>
      <w:r w:rsidR="00671489">
        <w:rPr>
          <w:rFonts w:ascii="Arial" w:hAnsi="Arial" w:cs="Arial"/>
          <w:sz w:val="20"/>
          <w:szCs w:val="20"/>
        </w:rPr>
        <w:t xml:space="preserve">estimated </w:t>
      </w:r>
      <w:r>
        <w:rPr>
          <w:rFonts w:ascii="Arial" w:hAnsi="Arial" w:cs="Arial"/>
          <w:i/>
          <w:iCs/>
          <w:sz w:val="20"/>
          <w:szCs w:val="20"/>
        </w:rPr>
        <w:t>P.</w:t>
      </w:r>
      <w:r w:rsidRPr="00DD7BDE">
        <w:rPr>
          <w:rFonts w:ascii="Arial" w:hAnsi="Arial" w:cs="Arial"/>
          <w:i/>
          <w:iCs/>
          <w:sz w:val="20"/>
          <w:szCs w:val="20"/>
        </w:rPr>
        <w:t xml:space="preserve"> </w:t>
      </w:r>
      <w:r>
        <w:rPr>
          <w:rFonts w:ascii="Arial" w:hAnsi="Arial" w:cs="Arial"/>
          <w:i/>
          <w:iCs/>
          <w:sz w:val="20"/>
          <w:szCs w:val="20"/>
        </w:rPr>
        <w:t>a</w:t>
      </w:r>
      <w:r w:rsidRPr="00DD7BDE">
        <w:rPr>
          <w:rFonts w:ascii="Arial" w:hAnsi="Arial" w:cs="Arial"/>
          <w:i/>
          <w:iCs/>
          <w:sz w:val="20"/>
          <w:szCs w:val="20"/>
        </w:rPr>
        <w:t>eruginosa</w:t>
      </w:r>
      <w:r>
        <w:rPr>
          <w:rFonts w:ascii="Arial" w:hAnsi="Arial" w:cs="Arial"/>
          <w:sz w:val="20"/>
          <w:szCs w:val="20"/>
        </w:rPr>
        <w:t xml:space="preserve"> to be the most transmissible microbial species, consistent with reports that classify </w:t>
      </w:r>
      <w:r>
        <w:rPr>
          <w:rFonts w:ascii="Arial" w:hAnsi="Arial" w:cs="Arial"/>
          <w:sz w:val="20"/>
          <w:szCs w:val="20"/>
        </w:rPr>
        <w:lastRenderedPageBreak/>
        <w:t>this organism as an opportunistic pathogen able to easily colonize non</w:t>
      </w:r>
      <w:r w:rsidR="000446EF">
        <w:rPr>
          <w:rFonts w:ascii="Arial" w:hAnsi="Arial" w:cs="Arial"/>
          <w:sz w:val="20"/>
          <w:szCs w:val="20"/>
        </w:rPr>
        <w:t>-</w:t>
      </w:r>
      <w:r>
        <w:rPr>
          <w:rFonts w:ascii="Arial" w:hAnsi="Arial" w:cs="Arial"/>
          <w:sz w:val="20"/>
          <w:szCs w:val="20"/>
        </w:rPr>
        <w:t xml:space="preserve">healthy patients more likely to experience lengthy stays in hospital </w:t>
      </w:r>
      <w:r>
        <w:rPr>
          <w:rFonts w:ascii="Arial" w:hAnsi="Arial" w:cs="Arial"/>
          <w:sz w:val="20"/>
          <w:szCs w:val="20"/>
        </w:rPr>
        <w:fldChar w:fldCharType="begin"/>
      </w:r>
      <w:r w:rsidR="00557045">
        <w:rPr>
          <w:rFonts w:ascii="Arial" w:hAnsi="Arial" w:cs="Arial"/>
          <w:sz w:val="20"/>
          <w:szCs w:val="20"/>
        </w:rPr>
        <w:instrText xml:space="preserve"> ADDIN ZOTERO_ITEM CSL_CITATION {"citationID":"G6dM7rEO","properties":{"formattedCitation":"\\super 4,36,37\\nosupersub{}","plainCitation":"4,36,37","noteIndex":0},"citationItems":[{"id":413,"uris":["http://zotero.org/users/9551388/items/X27EMPDM"],"itemData":{"id":413,"type":"article-journal","container-title":"PLOS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4,36,37</w:t>
      </w:r>
      <w:r>
        <w:rPr>
          <w:rFonts w:ascii="Arial" w:hAnsi="Arial" w:cs="Arial"/>
          <w:sz w:val="20"/>
          <w:szCs w:val="20"/>
        </w:rPr>
        <w:fldChar w:fldCharType="end"/>
      </w:r>
      <w:r>
        <w:rPr>
          <w:rFonts w:ascii="Arial" w:hAnsi="Arial" w:cs="Arial"/>
          <w:sz w:val="20"/>
          <w:szCs w:val="20"/>
        </w:rPr>
        <w:t xml:space="preserve">. We also found that while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Pr>
          <w:rFonts w:ascii="Arial" w:hAnsi="Arial" w:cs="Arial"/>
          <w:sz w:val="20"/>
          <w:szCs w:val="20"/>
        </w:rPr>
        <w:t xml:space="preserve"> has the highest importation rate, it has the lowest nosocomial transmission rate suggesting that most carriage can be associated with infections of host commensal strains that do not contribute to transmission, which has been reported empirically </w:t>
      </w:r>
      <w:r>
        <w:rPr>
          <w:rFonts w:ascii="Arial" w:hAnsi="Arial" w:cs="Arial"/>
          <w:sz w:val="20"/>
          <w:szCs w:val="20"/>
        </w:rPr>
        <w:fldChar w:fldCharType="begin"/>
      </w:r>
      <w:r w:rsidR="00557045">
        <w:rPr>
          <w:rFonts w:ascii="Arial" w:hAnsi="Arial" w:cs="Arial"/>
          <w:sz w:val="20"/>
          <w:szCs w:val="20"/>
        </w:rPr>
        <w:instrText xml:space="preserve"> ADDIN ZOTERO_ITEM CSL_CITATION {"citationID":"2dmm48S4","properties":{"formattedCitation":"\\super 38\\nosupersub{}","plainCitation":"38","noteIndex":0},"citationItems":[{"id":342,"uris":["http://zotero.org/users/9551388/items/E5UTJGVP"],"itemData":{"id":342,"type":"article-journal","abstract":"Background: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38</w:t>
      </w:r>
      <w:r>
        <w:rPr>
          <w:rFonts w:ascii="Arial" w:hAnsi="Arial" w:cs="Arial"/>
          <w:sz w:val="20"/>
          <w:szCs w:val="20"/>
        </w:rPr>
        <w:fldChar w:fldCharType="end"/>
      </w:r>
      <w:r>
        <w:rPr>
          <w:rFonts w:ascii="Arial" w:hAnsi="Arial" w:cs="Arial"/>
          <w:sz w:val="20"/>
          <w:szCs w:val="20"/>
        </w:rPr>
        <w:t>. Th</w:t>
      </w:r>
      <w:r w:rsidR="000446EF">
        <w:rPr>
          <w:rFonts w:ascii="Arial" w:hAnsi="Arial" w:cs="Arial"/>
          <w:sz w:val="20"/>
          <w:szCs w:val="20"/>
        </w:rPr>
        <w:t>ese</w:t>
      </w:r>
      <w:r>
        <w:rPr>
          <w:rFonts w:ascii="Arial" w:hAnsi="Arial" w:cs="Arial"/>
          <w:sz w:val="20"/>
          <w:szCs w:val="20"/>
        </w:rPr>
        <w:t xml:space="preserve"> results remained unchanged </w:t>
      </w:r>
      <w:r w:rsidR="000446EF">
        <w:rPr>
          <w:rFonts w:ascii="Arial" w:hAnsi="Arial" w:cs="Arial"/>
          <w:sz w:val="20"/>
          <w:szCs w:val="20"/>
        </w:rPr>
        <w:t>in response to</w:t>
      </w:r>
      <w:r>
        <w:rPr>
          <w:rFonts w:ascii="Arial" w:hAnsi="Arial" w:cs="Arial"/>
          <w:sz w:val="20"/>
          <w:szCs w:val="20"/>
        </w:rPr>
        <w:t xml:space="preserve"> the underlying observational network across body sites and to exclusion of outpatient wards (See Figures S</w:t>
      </w:r>
      <w:r w:rsidR="003D6104">
        <w:rPr>
          <w:rFonts w:ascii="Arial" w:hAnsi="Arial" w:cs="Arial"/>
          <w:sz w:val="20"/>
          <w:szCs w:val="20"/>
        </w:rPr>
        <w:t>7</w:t>
      </w:r>
      <w:r>
        <w:rPr>
          <w:rFonts w:ascii="Arial" w:hAnsi="Arial" w:cs="Arial"/>
          <w:sz w:val="20"/>
          <w:szCs w:val="20"/>
        </w:rPr>
        <w:t>-</w:t>
      </w:r>
      <w:r w:rsidR="00ED7842">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05E4A78E" w14:textId="1AB26BED" w:rsidR="005E4095" w:rsidRDefault="005E4095" w:rsidP="009D3DD5">
      <w:pPr>
        <w:spacing w:line="360" w:lineRule="auto"/>
        <w:jc w:val="both"/>
        <w:rPr>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detailed mathematical 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00BE18D6">
        <w:rPr>
          <w:rFonts w:ascii="Arial" w:hAnsi="Arial" w:cs="Arial"/>
          <w:sz w:val="20"/>
          <w:szCs w:val="20"/>
        </w:rPr>
        <w:t>ward-level</w:t>
      </w:r>
      <w:r w:rsidRPr="00247C9F">
        <w:rPr>
          <w:rFonts w:ascii="Arial" w:hAnsi="Arial" w:cs="Arial"/>
          <w:sz w:val="20"/>
          <w:szCs w:val="20"/>
        </w:rPr>
        <w:t xml:space="preserve">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557045">
        <w:rPr>
          <w:rFonts w:ascii="Arial" w:hAnsi="Arial" w:cs="Arial"/>
          <w:sz w:val="20"/>
          <w:szCs w:val="20"/>
        </w:rPr>
        <w:instrText xml:space="preserve"> ADDIN ZOTERO_ITEM CSL_CITATION {"citationID":"XsYBoWmQ","properties":{"formattedCitation":"\\super 4,39\\nosupersub{}","plainCitation":"4,39","noteIndex":0},"citationItems":[{"id":413,"uris":["http://zotero.org/users/9551388/items/X27EMPDM"],"itemData":{"id":413,"type":"article-journal","container-title":"PLOS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4,39</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sidR="004528EF">
        <w:rPr>
          <w:rFonts w:ascii="Arial" w:hAnsi="Arial" w:cs="Arial"/>
          <w:sz w:val="20"/>
          <w:szCs w:val="20"/>
        </w:rPr>
        <w:t xml:space="preserve"> </w:t>
      </w:r>
      <w:r>
        <w:rPr>
          <w:rFonts w:ascii="Arial" w:hAnsi="Arial" w:cs="Arial"/>
          <w:sz w:val="20"/>
          <w:szCs w:val="20"/>
        </w:rPr>
        <w:fldChar w:fldCharType="begin"/>
      </w:r>
      <w:r w:rsidR="00557045">
        <w:rPr>
          <w:rFonts w:ascii="Arial" w:hAnsi="Arial" w:cs="Arial"/>
          <w:sz w:val="20"/>
          <w:szCs w:val="20"/>
        </w:rPr>
        <w:instrText xml:space="preserve"> ADDIN ZOTERO_ITEM CSL_CITATION {"citationID":"K5Wo3T2d","properties":{"formattedCitation":"\\super 4,36,37\\nosupersub{}","plainCitation":"4,36,37","noteIndex":0},"citationItems":[{"id":413,"uris":["http://zotero.org/users/9551388/items/X27EMPDM"],"itemData":{"id":413,"type":"article-journal","container-title":"PLOS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4,36,37</w:t>
      </w:r>
      <w:r>
        <w:rPr>
          <w:rFonts w:ascii="Arial" w:hAnsi="Arial" w:cs="Arial"/>
          <w:sz w:val="20"/>
          <w:szCs w:val="20"/>
        </w:rPr>
        <w:fldChar w:fldCharType="end"/>
      </w:r>
      <w:r w:rsidRPr="00247C9F">
        <w:rPr>
          <w:rFonts w:ascii="Arial" w:hAnsi="Arial" w:cs="Arial"/>
          <w:sz w:val="20"/>
          <w:szCs w:val="20"/>
        </w:rPr>
        <w:t>. Finally</w:t>
      </w:r>
      <w:r>
        <w:rPr>
          <w:rFonts w:ascii="Arial" w:hAnsi="Arial" w:cs="Arial"/>
          <w:sz w:val="20"/>
          <w:szCs w:val="20"/>
        </w:rPr>
        <w:t>,</w:t>
      </w:r>
      <w:r w:rsidRPr="00247C9F">
        <w:rPr>
          <w:rFonts w:ascii="Arial" w:hAnsi="Arial" w:cs="Arial"/>
          <w:sz w:val="20"/>
          <w:szCs w:val="20"/>
        </w:rPr>
        <w:t xml:space="preserve"> our model-inference sensitivity analysis</w:t>
      </w:r>
      <w:r>
        <w:rPr>
          <w:rFonts w:ascii="Arial" w:hAnsi="Arial" w:cs="Arial"/>
          <w:sz w:val="20"/>
          <w:szCs w:val="20"/>
        </w:rPr>
        <w:t xml:space="preserve">, in which we dropped </w:t>
      </w:r>
      <w:r w:rsidRPr="00247C9F">
        <w:rPr>
          <w:rFonts w:ascii="Arial" w:hAnsi="Arial" w:cs="Arial"/>
          <w:sz w:val="20"/>
          <w:szCs w:val="20"/>
        </w:rPr>
        <w:t xml:space="preserve">observations </w:t>
      </w:r>
      <w:r>
        <w:rPr>
          <w:rFonts w:ascii="Arial" w:hAnsi="Arial" w:cs="Arial"/>
          <w:sz w:val="20"/>
          <w:szCs w:val="20"/>
        </w:rPr>
        <w:t>from specific</w:t>
      </w:r>
      <w:r w:rsidRPr="00247C9F">
        <w:rPr>
          <w:rFonts w:ascii="Arial" w:hAnsi="Arial" w:cs="Arial"/>
          <w:sz w:val="20"/>
          <w:szCs w:val="20"/>
        </w:rPr>
        <w:t xml:space="preserve"> body sites</w:t>
      </w:r>
      <w:r>
        <w:rPr>
          <w:rFonts w:ascii="Arial" w:hAnsi="Arial" w:cs="Arial"/>
          <w:sz w:val="20"/>
          <w:szCs w:val="20"/>
        </w:rPr>
        <w:t>,</w:t>
      </w:r>
      <w:r w:rsidRPr="00247C9F">
        <w:rPr>
          <w:rFonts w:ascii="Arial" w:hAnsi="Arial" w:cs="Arial"/>
          <w:sz w:val="20"/>
          <w:szCs w:val="20"/>
        </w:rPr>
        <w:t xml:space="preserve"> showed that</w:t>
      </w:r>
      <w:r>
        <w:rPr>
          <w:rFonts w:ascii="Arial" w:hAnsi="Arial" w:cs="Arial"/>
          <w:sz w:val="20"/>
          <w:szCs w:val="20"/>
        </w:rPr>
        <w:t>,</w:t>
      </w:r>
      <w:r w:rsidRPr="00247C9F">
        <w:rPr>
          <w:rFonts w:ascii="Arial" w:hAnsi="Arial" w:cs="Arial"/>
          <w:sz w:val="20"/>
          <w:szCs w:val="20"/>
        </w:rPr>
        <w:t xml:space="preserve"> for quantifying importation and nosocomial rates</w:t>
      </w:r>
      <w:r>
        <w:rPr>
          <w:rFonts w:ascii="Arial" w:hAnsi="Arial" w:cs="Arial"/>
          <w:sz w:val="20"/>
          <w:szCs w:val="20"/>
        </w:rPr>
        <w:t>,</w:t>
      </w:r>
      <w:r w:rsidRPr="00247C9F">
        <w:rPr>
          <w:rFonts w:ascii="Arial" w:hAnsi="Arial" w:cs="Arial"/>
          <w:sz w:val="20"/>
          <w:szCs w:val="20"/>
        </w:rPr>
        <w:t xml:space="preserve"> it might be enough to consider only a portion of body sites</w:t>
      </w:r>
      <w:r>
        <w:rPr>
          <w:rFonts w:ascii="Arial" w:hAnsi="Arial" w:cs="Arial"/>
          <w:sz w:val="20"/>
          <w:szCs w:val="20"/>
        </w:rPr>
        <w:t>. The selection of body sites could</w:t>
      </w:r>
      <w:r w:rsidRPr="00247C9F">
        <w:rPr>
          <w:rFonts w:ascii="Arial" w:hAnsi="Arial" w:cs="Arial"/>
          <w:sz w:val="20"/>
          <w:szCs w:val="20"/>
        </w:rPr>
        <w:t xml:space="preserve"> be investigated more rigorously to prevent possible biases in detection and further inform differential testing strategies across body sites.</w:t>
      </w:r>
    </w:p>
    <w:p w14:paraId="28BB7F2F" w14:textId="79C79B40"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Mathematical models of infectious diseases are simplifications of real-world transmission dynamics. The ABM used here is not an exception. While the ABM captures multiple sources of heterogeneity (e.g., </w:t>
      </w:r>
      <w:r w:rsidR="00C84BD7">
        <w:rPr>
          <w:rFonts w:ascii="Arial" w:hAnsi="Arial" w:cs="Arial"/>
          <w:color w:val="000000"/>
          <w:sz w:val="20"/>
          <w:szCs w:val="20"/>
        </w:rPr>
        <w:t xml:space="preserve">patient </w:t>
      </w:r>
      <w:r>
        <w:rPr>
          <w:rFonts w:ascii="Arial" w:hAnsi="Arial" w:cs="Arial"/>
          <w:color w:val="000000"/>
          <w:sz w:val="20"/>
          <w:szCs w:val="20"/>
        </w:rPr>
        <w:t xml:space="preserve">length of stay, contact patterns, </w:t>
      </w:r>
      <w:r w:rsidR="00C84BD7">
        <w:rPr>
          <w:rFonts w:ascii="Arial" w:hAnsi="Arial" w:cs="Arial"/>
          <w:color w:val="000000"/>
          <w:sz w:val="20"/>
          <w:szCs w:val="20"/>
        </w:rPr>
        <w:t>individual observational model</w:t>
      </w:r>
      <w:r>
        <w:rPr>
          <w:rFonts w:ascii="Arial" w:hAnsi="Arial" w:cs="Arial"/>
          <w:color w:val="000000"/>
          <w:sz w:val="20"/>
          <w:szCs w:val="20"/>
        </w:rPr>
        <w:t>,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0CF69C4C" w14:textId="0D2E1B95" w:rsidR="005E4095" w:rsidRPr="00235716" w:rsidRDefault="005E4095" w:rsidP="009D3DD5">
      <w:pPr>
        <w:spacing w:line="360" w:lineRule="auto"/>
        <w:jc w:val="both"/>
      </w:pPr>
      <w:r>
        <w:rPr>
          <w:rFonts w:ascii="Arial" w:hAnsi="Arial" w:cs="Arial"/>
          <w:color w:val="000000"/>
          <w:sz w:val="20"/>
          <w:szCs w:val="20"/>
        </w:rPr>
        <w:lastRenderedPageBreak/>
        <w:t xml:space="preserve">Second, we treated species with resistant and sensitive phenotypes separately, as we were limited by the classification available from the culture data used to detect carriage;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7550C69C" w14:textId="115B59CB" w:rsidR="00E6133D" w:rsidRPr="005020A1" w:rsidRDefault="005E4095" w:rsidP="005020A1">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patient admissions are heterogeneous and have linear relationships with in-hospital patients that are dictated by ward size, and ward category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{"citationID":"2k3PqnFz","properties":{"formattedCitation":"\\super 17\\nosupersub{}","plainCitation":"17","noteIndex":0},"citationItems":[{"id":130,"uris":["http://zotero.org/users/9551388/items/IUTFA7I6"],"itemData":{"id":130,"type":"article-journal","abstract":"Hospital-acquired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17</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6E04416" w14:textId="77777777" w:rsidR="00980C22" w:rsidRPr="00980C22" w:rsidRDefault="00980C22" w:rsidP="009D3DD5">
      <w:pPr>
        <w:pBdr>
          <w:top w:val="nil"/>
          <w:left w:val="nil"/>
          <w:bottom w:val="nil"/>
          <w:right w:val="nil"/>
          <w:between w:val="nil"/>
        </w:pBdr>
        <w:spacing w:after="0" w:line="360" w:lineRule="auto"/>
        <w:contextualSpacing/>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after="0"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799BDE35" w:rsidR="00F22241" w:rsidRDefault="00F22241" w:rsidP="009D3DD5">
      <w:pPr>
        <w:keepNext/>
        <w:spacing w:line="360" w:lineRule="auto"/>
        <w:jc w:val="both"/>
        <w:rPr>
          <w:rFonts w:ascii="Arial" w:hAnsi="Arial" w:cs="Arial"/>
          <w:sz w:val="20"/>
          <w:szCs w:val="20"/>
        </w:rPr>
      </w:pPr>
      <w:r>
        <w:rPr>
          <w:rFonts w:ascii="Arial" w:hAnsi="Arial" w:cs="Arial"/>
          <w:sz w:val="20"/>
          <w:szCs w:val="20"/>
        </w:rPr>
        <w:t>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ABM-inference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201F69E1"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(see Figure </w:t>
      </w:r>
      <w:r w:rsidR="001331B3">
        <w:rPr>
          <w:rFonts w:ascii="Arial" w:hAnsi="Arial" w:cs="Arial"/>
          <w:sz w:val="20"/>
          <w:szCs w:val="20"/>
        </w:rPr>
        <w:t>6</w:t>
      </w:r>
      <w:r w:rsidRPr="00282B6C">
        <w:rPr>
          <w:rFonts w:ascii="Arial" w:hAnsi="Arial" w:cs="Arial"/>
          <w:sz w:val="20"/>
          <w:szCs w:val="20"/>
        </w:rPr>
        <w:t xml:space="preserve"> for schematic).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a similar order in cultures across the hospital but substantial heterogeneity inside the hospital at the ward scale.</w:t>
      </w:r>
    </w:p>
    <w:p w14:paraId="0B020107" w14:textId="6D5477A0"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w:t>
      </w:r>
    </w:p>
    <w:p w14:paraId="58B690A9" w14:textId="7E1672F0" w:rsidR="00F22241" w:rsidRPr="00DF4E7E" w:rsidRDefault="00F22241" w:rsidP="009D3DD5">
      <w:pPr>
        <w:spacing w:line="360" w:lineRule="auto"/>
        <w:jc w:val="both"/>
        <w:rPr>
          <w:rFonts w:ascii="Arial" w:hAnsi="Arial" w:cs="Arial"/>
          <w:bCs/>
          <w:color w:val="000000"/>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557045">
        <w:rPr>
          <w:rFonts w:ascii="Arial" w:hAnsi="Arial" w:cs="Arial"/>
          <w:sz w:val="20"/>
          <w:szCs w:val="20"/>
        </w:rPr>
        <w:instrText xml:space="preserve"> ADDIN ZOTERO_ITEM CSL_CITATION {"citationID":"eoMscrWP","properties":{"formattedCitation":"\\super 18\\nosupersub{}","plainCitation":"18","noteIndex":0},"citationItems":[{"id":135,"uris":["http://zotero.org/users/9551388/items/D85TW3FM"],"itemData":{"id":135,"type":"article-journal","abstract":"Methicillin-resistant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557045" w:rsidRPr="00557045">
        <w:rPr>
          <w:rFonts w:ascii="Arial" w:hAnsi="Arial" w:cs="Arial"/>
          <w:sz w:val="20"/>
          <w:vertAlign w:val="superscript"/>
          <w:lang w:val="en-GB"/>
        </w:rPr>
        <w:t>18</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w:t>
      </w:r>
      <w:r>
        <w:rPr>
          <w:rFonts w:ascii="Arial" w:hAnsi="Arial" w:cs="Arial"/>
          <w:sz w:val="20"/>
          <w:szCs w:val="20"/>
        </w:rPr>
        <w:lastRenderedPageBreak/>
        <w:t>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 xml:space="preserve">converted to carriers </w:t>
      </w:r>
      <w:r>
        <w:rPr>
          <w:rFonts w:ascii="Arial" w:hAnsi="Arial" w:cs="Arial"/>
          <w:sz w:val="20"/>
          <w:szCs w:val="20"/>
        </w:rPr>
        <w:t xml:space="preserve"> proportion</w:t>
      </w:r>
      <w:r w:rsidR="000C38C2">
        <w:rPr>
          <w:rFonts w:ascii="Arial" w:hAnsi="Arial" w:cs="Arial"/>
          <w:sz w:val="20"/>
          <w:szCs w:val="20"/>
        </w:rPr>
        <w:t>al</w:t>
      </w:r>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557045">
        <w:rPr>
          <w:rFonts w:ascii="Arial" w:hAnsi="Arial" w:cs="Arial"/>
          <w:sz w:val="20"/>
          <w:szCs w:val="20"/>
          <w:highlight w:val="yellow"/>
        </w:rPr>
        <w:instrText xml:space="preserve"> ADDIN ZOTERO_ITEM CSL_CITATION {"citationID":"PlyOR8l7","properties":{"formattedCitation":"\\super 20\\nosupersub{}","plainCitation":"20","noteIndex":0},"citationItems":[{"id":141,"uris":["http://zotero.org/users/9551388/items/PVAEXFVJ"],"itemData":{"id":141,"type":"article-journal","container-title":"Proceedings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557045" w:rsidRPr="00557045">
        <w:rPr>
          <w:rFonts w:ascii="Arial" w:hAnsi="Arial" w:cs="Arial"/>
          <w:sz w:val="20"/>
          <w:vertAlign w:val="superscript"/>
          <w:lang w:val="en-GB"/>
        </w:rPr>
        <w:t>20</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hospital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6ED8767D" w14:textId="69CC0AE9"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not track changes in importation rates due to re-admission.</w:t>
      </w:r>
      <w:r w:rsidR="007B098E">
        <w:rPr>
          <w:rFonts w:ascii="Arial" w:hAnsi="Arial" w:cs="Arial"/>
          <w:sz w:val="20"/>
          <w:szCs w:val="20"/>
        </w:rPr>
        <w:t xml:space="preserve"> However, if patients were admitted in consecutive days we assumed their colonization status did not change.</w:t>
      </w:r>
      <w:r w:rsidRPr="0024105A">
        <w:rPr>
          <w:rFonts w:ascii="Arial" w:hAnsi="Arial" w:cs="Arial"/>
          <w:sz w:val="20"/>
          <w:szCs w:val="20"/>
        </w:rPr>
        <w:t xml:space="preserve">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1DF47C15"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224]</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5C7E2E48"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6FC2756B"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47A29E9B" w:rsidR="00F22241" w:rsidRPr="003234E4" w:rsidRDefault="00D6711A" w:rsidP="009D3DD5">
      <w:pPr>
        <w:pStyle w:val="Heading3"/>
        <w:spacing w:line="360" w:lineRule="auto"/>
        <w:jc w:val="both"/>
        <w:rPr>
          <w:i/>
          <w:iCs/>
          <w:sz w:val="20"/>
          <w:szCs w:val="20"/>
          <w:lang w:val="en-US"/>
        </w:rPr>
      </w:pPr>
      <w:r>
        <w:rPr>
          <w:i/>
          <w:iCs/>
          <w:sz w:val="20"/>
          <w:szCs w:val="20"/>
          <w:lang w:val="en-US"/>
        </w:rPr>
        <w:t>The i</w:t>
      </w:r>
      <w:r w:rsidR="00F22241" w:rsidRPr="003234E4">
        <w:rPr>
          <w:i/>
          <w:iCs/>
          <w:sz w:val="20"/>
          <w:szCs w:val="20"/>
          <w:lang w:val="en-US"/>
        </w:rPr>
        <w:t xml:space="preserve">ndividual </w:t>
      </w:r>
      <w:r>
        <w:rPr>
          <w:i/>
          <w:iCs/>
          <w:sz w:val="20"/>
          <w:szCs w:val="20"/>
          <w:lang w:val="en-US"/>
        </w:rPr>
        <w:t>o</w:t>
      </w:r>
      <w:r w:rsidR="00F22241" w:rsidRPr="003234E4">
        <w:rPr>
          <w:i/>
          <w:iCs/>
          <w:sz w:val="20"/>
          <w:szCs w:val="20"/>
          <w:lang w:val="en-US"/>
        </w:rPr>
        <w:t>bservational model</w:t>
      </w:r>
    </w:p>
    <w:p w14:paraId="7F67BE88" w14:textId="357440B0" w:rsidR="00F22241" w:rsidRDefault="00F22241" w:rsidP="009D3DD5">
      <w:pPr>
        <w:spacing w:line="360" w:lineRule="auto"/>
        <w:jc w:val="both"/>
        <w:rPr>
          <w:rFonts w:ascii="Arial" w:hAnsi="Arial" w:cs="Arial"/>
          <w:bCs/>
          <w:color w:val="000000"/>
          <w:sz w:val="20"/>
          <w:szCs w:val="20"/>
        </w:rPr>
      </w:pPr>
      <w:r>
        <w:rPr>
          <w:rFonts w:ascii="Arial" w:hAnsi="Arial" w:cs="Arial"/>
          <w:sz w:val="20"/>
          <w:szCs w:val="20"/>
        </w:rPr>
        <w:t xml:space="preserve">Colonized patients may develop clinical infections due to </w:t>
      </w:r>
      <w:r w:rsidR="00966481">
        <w:rPr>
          <w:rFonts w:ascii="Arial" w:hAnsi="Arial" w:cs="Arial"/>
          <w:sz w:val="20"/>
          <w:szCs w:val="20"/>
        </w:rPr>
        <w:t xml:space="preserve">the </w:t>
      </w:r>
      <w:r>
        <w:rPr>
          <w:rFonts w:ascii="Arial" w:hAnsi="Arial" w:cs="Arial"/>
          <w:sz w:val="20"/>
          <w:szCs w:val="20"/>
        </w:rPr>
        <w:t>invasion of typically sterile body sites such as blood. At other body sites (i.e. respiratory and urinary tract) the presence of pathogens may indicate both infection or colonization, depending on additional clinical variables</w:t>
      </w:r>
      <w:r>
        <w:rPr>
          <w:rFonts w:ascii="Arial" w:hAnsi="Arial" w:cs="Arial"/>
          <w:sz w:val="20"/>
          <w:szCs w:val="20"/>
        </w:rPr>
        <w:fldChar w:fldCharType="begin"/>
      </w:r>
      <w:r w:rsidR="00557045">
        <w:rPr>
          <w:rFonts w:ascii="Arial" w:hAnsi="Arial" w:cs="Arial"/>
          <w:sz w:val="20"/>
          <w:szCs w:val="20"/>
        </w:rPr>
        <w:instrText xml:space="preserve"> ADDIN ZOTERO_ITEM CSL_CITATION {"citationID":"ikQcTf2l","properties":{"formattedCitation":"\\super 1,16\\nosupersub{}","plainCitation":"1,16","noteIndex":0},"citationItems":[{"id":147,"uris":["http://zotero.org/users/9551388/items/SSS9MH66"],"itemData":{"id":147,"type":"article-journal","abstract":"Abstract\n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1,16</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and body sites.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 xml:space="preserve">D-E). </w:t>
      </w:r>
      <w:r w:rsidR="0051768D">
        <w:rPr>
          <w:rFonts w:ascii="Arial" w:hAnsi="Arial" w:cs="Arial"/>
          <w:sz w:val="20"/>
          <w:szCs w:val="20"/>
        </w:rPr>
        <w:t>W</w:t>
      </w:r>
      <w:r>
        <w:rPr>
          <w:rFonts w:ascii="Arial" w:hAnsi="Arial" w:cs="Arial"/>
          <w:sz w:val="20"/>
          <w:szCs w:val="20"/>
        </w:rPr>
        <w:t>ard size distribution is shown in Supplementary Information Figure S1</w:t>
      </w:r>
      <w:r w:rsidR="0046448C">
        <w:rPr>
          <w:rFonts w:ascii="Arial" w:hAnsi="Arial" w:cs="Arial"/>
          <w:sz w:val="20"/>
          <w:szCs w:val="20"/>
        </w:rPr>
        <w:t>,</w:t>
      </w:r>
      <w:r>
        <w:rPr>
          <w:rFonts w:ascii="Arial" w:hAnsi="Arial" w:cs="Arial"/>
          <w:sz w:val="20"/>
          <w:szCs w:val="20"/>
        </w:rPr>
        <w:t xml:space="preserve"> and we further stratified by ward type, based on the procedure conducted in each ward </w:t>
      </w:r>
      <w:r w:rsidR="00045125">
        <w:rPr>
          <w:rFonts w:ascii="Arial" w:hAnsi="Arial" w:cs="Arial"/>
          <w:sz w:val="20"/>
          <w:szCs w:val="20"/>
        </w:rPr>
        <w:t>(</w:t>
      </w:r>
      <w:r>
        <w:rPr>
          <w:rFonts w:ascii="Arial" w:hAnsi="Arial" w:cs="Arial"/>
          <w:sz w:val="20"/>
          <w:szCs w:val="20"/>
        </w:rPr>
        <w:t>Figure S2</w:t>
      </w:r>
      <w:r w:rsidR="00045125">
        <w:rPr>
          <w:rFonts w:ascii="Arial" w:hAnsi="Arial" w:cs="Arial"/>
          <w:sz w:val="20"/>
          <w:szCs w:val="20"/>
        </w:rPr>
        <w:t>)</w:t>
      </w:r>
      <w:r>
        <w:rPr>
          <w:rFonts w:ascii="Arial" w:hAnsi="Arial" w:cs="Arial"/>
          <w:sz w:val="20"/>
          <w:szCs w:val="20"/>
        </w:rPr>
        <w:t xml:space="preserve">. The proportional relationship between the number of admissions, in-hospital days, and ward size is shown in Figure S3. </w:t>
      </w:r>
    </w:p>
    <w:p w14:paraId="490EE3E7" w14:textId="22B1351B"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or fungus.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3FD1E935" w14:textId="702DA3C5"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590AF7">
        <w:rPr>
          <w:rFonts w:ascii="Arial" w:hAnsi="Arial" w:cs="Arial"/>
          <w:bCs/>
          <w:color w:val="000000"/>
          <w:sz w:val="20"/>
          <w:szCs w:val="20"/>
        </w:rPr>
        <w:instrText xml:space="preserve"> ADDIN ZOTERO_ITEM CSL_CITATION {"citationID":"yzZOn6iF","properties":{"formattedCitation":"\\super 9,10\\nosupersub{}","plainCitation":"9,10","noteIndex":0},"citationItems":[{"id":221,"uris":["http://zotero.org/users/9551388/items/4PKBTMW2"],"itemData":{"id":221,"type":"article-journal","abstract":"Background: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590AF7" w:rsidRPr="00590AF7">
        <w:rPr>
          <w:rFonts w:ascii="Arial" w:hAnsi="Arial" w:cs="Arial"/>
          <w:color w:val="000000"/>
          <w:sz w:val="20"/>
          <w:vertAlign w:val="superscript"/>
          <w:lang w:val="en-GB"/>
        </w:rPr>
        <w:t>9,10</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m:t>
        </m:r>
        <m:r>
          <w:rPr>
            <w:rFonts w:ascii="Cambria Math" w:hAnsi="Cambria Math" w:cs="Arial"/>
            <w:color w:val="000000"/>
            <w:sz w:val="20"/>
            <w:szCs w:val="20"/>
          </w:rPr>
          <w:lastRenderedPageBreak/>
          <m:t>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557045">
        <w:rPr>
          <w:rFonts w:ascii="Arial" w:hAnsi="Arial" w:cs="Arial"/>
          <w:bCs/>
          <w:color w:val="000000"/>
          <w:sz w:val="20"/>
          <w:szCs w:val="20"/>
        </w:rPr>
        <w:instrText xml:space="preserve"> ADDIN ZOTERO_ITEM CSL_CITATION {"citationID":"45vAjOrg","properties":{"formattedCitation":"\\super 35\\nosupersub{}","plainCitation":"35","noteIndex":0},"citationItems":[{"id":366,"uris":["http://zotero.org/users/9551388/items/U5Z9BGT4"],"itemData":{"id":366,"type":"article-journal","abstract":"Purpose: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557045" w:rsidRPr="00557045">
        <w:rPr>
          <w:rFonts w:ascii="Arial" w:hAnsi="Arial" w:cs="Arial"/>
          <w:color w:val="000000"/>
          <w:sz w:val="20"/>
          <w:vertAlign w:val="superscript"/>
          <w:lang w:val="en-GB"/>
        </w:rPr>
        <w:t>35</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w:t>
      </w:r>
    </w:p>
    <w:p w14:paraId="73197FF3" w14:textId="121F6DFA"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6D8140CD"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697AC4">
        <w:rPr>
          <w:rFonts w:ascii="Arial" w:hAnsi="Arial" w:cs="Arial"/>
          <w:sz w:val="20"/>
          <w:szCs w:val="20"/>
        </w:rPr>
        <w:instrText xml:space="preserve"> ADDIN ZOTERO_ITEM CSL_CITATION {"citationID":"V8kT9ZoS","properties":{"formattedCitation":"\\super 40\\nosupersub{}","plainCitation":"40","noteIndex":0},"citationItems":[{"id":218,"uris":["http://zotero.org/users/9551388/items/GPV2JSHX"],"itemData":{"id":218,"type":"article-journal","container-title":"Proceedings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697AC4" w:rsidRPr="00697AC4">
        <w:rPr>
          <w:rFonts w:ascii="Arial" w:hAnsi="Arial" w:cs="Arial"/>
          <w:sz w:val="20"/>
          <w:vertAlign w:val="superscript"/>
          <w:lang w:val="en-GB"/>
        </w:rPr>
        <w:t>40</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0AB23B3E" w:rsidR="00F22241" w:rsidRDefault="00F22241" w:rsidP="009D3DD5">
      <w:pPr>
        <w:spacing w:line="360" w:lineRule="auto"/>
        <w:jc w:val="both"/>
        <w:rPr>
          <w:rFonts w:ascii="Arial"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697AC4">
        <w:rPr>
          <w:rFonts w:ascii="Arial" w:hAnsi="Arial" w:cs="Arial"/>
          <w:sz w:val="20"/>
          <w:szCs w:val="20"/>
        </w:rPr>
        <w:instrText xml:space="preserve"> ADDIN ZOTERO_ITEM CSL_CITATION {"citationID":"pzPttrOW","properties":{"formattedCitation":"\\super 41,42\\nosupersub{}","plainCitation":"41,42","noteIndex":0},"citationItems":[{"id":205,"uris":["http://zotero.org/users/9551388/items/9R354AKT"],"itemData":{"id":205,"type":"article-journal","abstract":"A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697AC4" w:rsidRPr="00697AC4">
        <w:rPr>
          <w:rFonts w:ascii="Arial" w:hAnsi="Arial" w:cs="Arial"/>
          <w:sz w:val="20"/>
          <w:vertAlign w:val="superscript"/>
          <w:lang w:val="en-GB"/>
        </w:rPr>
        <w:t>41,42</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697AC4">
        <w:rPr>
          <w:rFonts w:ascii="Arial" w:hAnsi="Arial" w:cs="Arial"/>
          <w:sz w:val="20"/>
          <w:szCs w:val="20"/>
        </w:rPr>
        <w:instrText xml:space="preserve"> ADDIN ZOTERO_ITEM CSL_CITATION {"citationID":"KrWsqKR4","properties":{"formattedCitation":"\\super 43\\uc0\\u8211{}52\\nosupersub{}","plainCitation":"43–52","noteIndex":0},"citationItems":[{"id":42,"uris":["http://zotero.org/users/9551388/items/PEFRCSMI"],"itemData":{"id":42,"type":"article-journal","abstract":"The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697AC4" w:rsidRPr="00697AC4">
        <w:rPr>
          <w:rFonts w:ascii="Arial" w:hAnsi="Arial" w:cs="Arial"/>
          <w:sz w:val="20"/>
          <w:vertAlign w:val="superscript"/>
          <w:lang w:val="en-GB"/>
        </w:rPr>
        <w:t>43–52</w:t>
      </w:r>
      <w:r>
        <w:rPr>
          <w:rFonts w:ascii="Arial" w:hAnsi="Arial" w:cs="Arial"/>
          <w:sz w:val="20"/>
          <w:szCs w:val="20"/>
        </w:rPr>
        <w:fldChar w:fldCharType="end"/>
      </w:r>
      <w:r>
        <w:rPr>
          <w:rFonts w:ascii="Arial" w:hAnsi="Arial" w:cs="Arial"/>
          <w:sz w:val="20"/>
          <w:szCs w:val="20"/>
        </w:rPr>
        <w:t xml:space="preserve">, 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1F37F9">
        <w:rPr>
          <w:rFonts w:ascii="Arial" w:hAnsi="Arial" w:cs="Arial"/>
          <w:sz w:val="20"/>
          <w:szCs w:val="20"/>
        </w:rPr>
        <w:instrText xml:space="preserve"> ADDIN ZOTERO_ITEM CSL_CITATION {"citationID":"co5whNFX","properties":{"formattedCitation":"\\super 10\\nosupersub{}","plainCitation":"10","dontUpdate":true,"noteIndex":0},"citationItems":[{"id":135,"uris":["http://zotero.org/users/9551388/items/D85TW3FM"],"itemData":{"id":135,"type":"article-journal","abstract":"Methicillin-resistant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590AF7" w:rsidRPr="00590AF7">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For this ABM system, we simplify the inference problem and only estimate two parameters,</w:t>
      </w:r>
      <w:r w:rsidRPr="009D5B70">
        <w:rPr>
          <w:rFonts w:ascii="Arial" w:hAnsi="Arial" w:cs="Arial"/>
          <w:sz w:val="20"/>
          <w:szCs w:val="20"/>
        </w:rPr>
        <w:t xml:space="preserve"> i.e.</w:t>
      </w:r>
      <w:r>
        <w:rPr>
          <w:rFonts w:ascii="Arial" w:hAnsi="Arial" w:cs="Arial"/>
          <w:sz w:val="20"/>
          <w:szCs w:val="20"/>
        </w:rPr>
        <w:t xml:space="preserve">, </w:t>
      </w:r>
      <w:r w:rsidRPr="009D5B70">
        <w:rPr>
          <w:rFonts w:ascii="Arial" w:hAnsi="Arial" w:cs="Arial"/>
          <w:sz w:val="20"/>
          <w:szCs w:val="20"/>
        </w:rPr>
        <w:t xml:space="preserve">the importation rate </w:t>
      </w:r>
      <m:oMath>
        <m:r>
          <w:rPr>
            <w:rFonts w:ascii="Cambria Math" w:hAnsi="Cambria Math" w:cs="Arial"/>
            <w:color w:val="000000"/>
            <w:sz w:val="20"/>
            <w:szCs w:val="20"/>
          </w:rPr>
          <m:t>γ</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contact rate </w:t>
      </w:r>
      <m:oMath>
        <m:r>
          <w:rPr>
            <w:rFonts w:ascii="Cambria Math" w:hAnsi="Cambria Math" w:cs="Arial"/>
            <w:color w:val="000000"/>
            <w:sz w:val="20"/>
            <w:szCs w:val="20"/>
          </w:rPr>
          <m:t>β</m:t>
        </m:r>
      </m:oMath>
      <w:r>
        <w:rPr>
          <w:rFonts w:ascii="Arial" w:hAnsi="Arial" w:cs="Arial"/>
          <w:color w:val="000000"/>
          <w:sz w:val="20"/>
          <w:szCs w:val="20"/>
        </w:rPr>
        <w:t>.</w:t>
      </w:r>
    </w:p>
    <w:p w14:paraId="29606508" w14:textId="59AB1BD8"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lastRenderedPageBreak/>
        <w:t>We use the ensemble adjustment Kalman filter (EAKF</w:t>
      </w:r>
      <w:r w:rsidR="0097085D">
        <w:rPr>
          <w:rFonts w:ascii="Arial" w:hAnsi="Arial" w:cs="Arial"/>
          <w:color w:val="000000"/>
          <w:sz w:val="20"/>
          <w:szCs w:val="20"/>
        </w:rPr>
        <w:fldChar w:fldCharType="begin"/>
      </w:r>
      <w:r w:rsidR="00697AC4">
        <w:rPr>
          <w:rFonts w:ascii="Arial" w:hAnsi="Arial" w:cs="Arial"/>
          <w:color w:val="000000"/>
          <w:sz w:val="20"/>
          <w:szCs w:val="20"/>
        </w:rPr>
        <w:instrText xml:space="preserve"> ADDIN ZOTERO_ITEM CSL_CITATION {"citationID":"a2q8o8bnsq5","properties":{"formattedCitation":"\\super 41\\nosupersub{}","plainCitation":"41","noteIndex":0},"citationItems":[{"id":205,"uris":["http://zotero.org/users/9551388/items/9R354AKT"],"itemData":{"id":205,"type":"article-journal","abstract":"A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0097085D">
        <w:rPr>
          <w:rFonts w:ascii="Arial" w:hAnsi="Arial" w:cs="Arial"/>
          <w:color w:val="000000"/>
          <w:sz w:val="20"/>
          <w:szCs w:val="20"/>
        </w:rPr>
        <w:fldChar w:fldCharType="separate"/>
      </w:r>
      <w:r w:rsidR="00697AC4" w:rsidRPr="00697AC4">
        <w:rPr>
          <w:rFonts w:ascii="Arial" w:hAnsi="Arial" w:cs="Arial"/>
          <w:color w:val="000000"/>
          <w:sz w:val="20"/>
          <w:vertAlign w:val="superscript"/>
          <w:lang w:val="en-GB"/>
        </w:rPr>
        <w:t>41</w:t>
      </w:r>
      <w:r w:rsidR="0097085D">
        <w:rPr>
          <w:rFonts w:ascii="Arial" w:hAnsi="Arial" w:cs="Arial"/>
          <w:color w:val="000000"/>
          <w:sz w:val="20"/>
          <w:szCs w:val="20"/>
        </w:rPr>
        <w:fldChar w:fldCharType="end"/>
      </w:r>
      <w:r w:rsidR="004D2944">
        <w:rPr>
          <w:rFonts w:ascii="Arial" w:hAnsi="Arial" w:cs="Arial"/>
          <w:color w:val="000000"/>
          <w:sz w:val="20"/>
          <w:szCs w:val="20"/>
        </w:rPr>
        <w:t xml:space="preserve"> or EnKF</w:t>
      </w:r>
      <w:r>
        <w:rPr>
          <w:rFonts w:ascii="Arial" w:hAnsi="Arial" w:cs="Arial"/>
          <w:color w:val="000000"/>
          <w:sz w:val="20"/>
          <w:szCs w:val="20"/>
        </w:rPr>
        <w:t>), which assumes both the prior and the observations are normally distributed</w:t>
      </w:r>
      <w:r>
        <w:rPr>
          <w:rFonts w:ascii="Arial" w:hAnsi="Arial" w:cs="Arial"/>
          <w:sz w:val="20"/>
          <w:szCs w:val="20"/>
        </w:rPr>
        <w:t xml:space="preserve">. Compared to other data assimilation techniques, the EAKF is amenable for use with high-dimensional models such as numerical weather models.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w:t>
      </w:r>
      <w:r w:rsidR="0097085D">
        <w:rPr>
          <w:rFonts w:ascii="Arial" w:hAnsi="Arial" w:cs="Arial"/>
          <w:sz w:val="20"/>
          <w:szCs w:val="20"/>
        </w:rPr>
        <w:t xml:space="preserve">carriage detections </w:t>
      </w:r>
      <w:r>
        <w:rPr>
          <w:rFonts w:ascii="Arial" w:hAnsi="Arial" w:cs="Arial"/>
          <w:sz w:val="20"/>
          <w:szCs w:val="20"/>
        </w:rPr>
        <w:t xml:space="preserve">for microorganisms </w:t>
      </w:r>
      <w:r w:rsidRPr="009D5B70">
        <w:rPr>
          <w:rFonts w:ascii="Arial" w:hAnsi="Arial" w:cs="Arial"/>
          <w:color w:val="000000"/>
          <w:sz w:val="20"/>
          <w:szCs w:val="20"/>
        </w:rPr>
        <w:fldChar w:fldCharType="begin"/>
      </w:r>
      <w:r w:rsidR="00697AC4">
        <w:rPr>
          <w:rFonts w:ascii="Arial" w:hAnsi="Arial" w:cs="Arial"/>
          <w:color w:val="000000"/>
          <w:sz w:val="20"/>
          <w:szCs w:val="20"/>
        </w:rPr>
        <w:instrText xml:space="preserve"> ADDIN ZOTERO_ITEM CSL_CITATION {"citationID":"1c4wqN9W","properties":{"formattedCitation":"\\super 41\\nosupersub{}","plainCitation":"41","noteIndex":0},"citationItems":[{"id":205,"uris":["http://zotero.org/users/9551388/items/9R354AKT"],"itemData":{"id":205,"type":"article-journal","abstract":"A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697AC4" w:rsidRPr="00697AC4">
        <w:rPr>
          <w:rFonts w:ascii="Arial" w:hAnsi="Arial" w:cs="Arial"/>
          <w:color w:val="000000"/>
          <w:sz w:val="20"/>
          <w:vertAlign w:val="superscript"/>
          <w:lang w:val="en-GB"/>
        </w:rPr>
        <w:t>41</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w:t>
      </w:r>
      <w:r w:rsidR="00281722">
        <w:rPr>
          <w:rFonts w:ascii="Arial" w:hAnsi="Arial" w:cs="Arial"/>
          <w:color w:val="000000"/>
          <w:sz w:val="20"/>
          <w:szCs w:val="20"/>
        </w:rPr>
        <w:t xml:space="preserve">. Iterated filtering for dynamical systems was proposed in the context of epidemiology using particle filters or sequential </w:t>
      </w:r>
      <w:r w:rsidR="002615B1">
        <w:rPr>
          <w:rFonts w:ascii="Arial" w:hAnsi="Arial" w:cs="Arial"/>
          <w:color w:val="000000"/>
          <w:sz w:val="20"/>
          <w:szCs w:val="20"/>
        </w:rPr>
        <w:t>M</w:t>
      </w:r>
      <w:r w:rsidR="00281722">
        <w:rPr>
          <w:rFonts w:ascii="Arial" w:hAnsi="Arial" w:cs="Arial"/>
          <w:color w:val="000000"/>
          <w:sz w:val="20"/>
          <w:szCs w:val="20"/>
        </w:rPr>
        <w:t xml:space="preserve">onte </w:t>
      </w:r>
      <w:r w:rsidR="002615B1">
        <w:rPr>
          <w:rFonts w:ascii="Arial" w:hAnsi="Arial" w:cs="Arial"/>
          <w:color w:val="000000"/>
          <w:sz w:val="20"/>
          <w:szCs w:val="20"/>
        </w:rPr>
        <w:t>C</w:t>
      </w:r>
      <w:r w:rsidR="00281722">
        <w:rPr>
          <w:rFonts w:ascii="Arial" w:hAnsi="Arial" w:cs="Arial"/>
          <w:color w:val="000000"/>
          <w:sz w:val="20"/>
          <w:szCs w:val="20"/>
        </w:rPr>
        <w:t>arlo</w:t>
      </w:r>
      <w:r>
        <w:rPr>
          <w:rFonts w:ascii="Arial" w:hAnsi="Arial" w:cs="Arial"/>
          <w:color w:val="000000"/>
          <w:sz w:val="20"/>
          <w:szCs w:val="20"/>
        </w:rPr>
        <w:t xml:space="preserve"> </w:t>
      </w:r>
      <w:r>
        <w:rPr>
          <w:rFonts w:ascii="Arial" w:hAnsi="Arial" w:cs="Arial"/>
          <w:color w:val="000000"/>
          <w:sz w:val="20"/>
          <w:szCs w:val="20"/>
        </w:rPr>
        <w:fldChar w:fldCharType="begin"/>
      </w:r>
      <w:r w:rsidR="00697AC4">
        <w:rPr>
          <w:rFonts w:ascii="Arial" w:hAnsi="Arial" w:cs="Arial"/>
          <w:color w:val="000000"/>
          <w:sz w:val="20"/>
          <w:szCs w:val="20"/>
        </w:rPr>
        <w:instrText xml:space="preserve"> ADDIN ZOTERO_ITEM CSL_CITATION {"citationID":"EsHX0GTh","properties":{"formattedCitation":"\\super 53,54\\nosupersub{}","plainCitation":"53,54","noteIndex":0},"citationItems":[{"id":200,"uris":["http://zotero.org/users/9551388/items/9E8VPYBM"],"itemData":{"id":200,"type":"article-journal","container-title":"Proceedings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697AC4" w:rsidRPr="00697AC4">
        <w:rPr>
          <w:rFonts w:ascii="Arial" w:hAnsi="Arial" w:cs="Arial"/>
          <w:color w:val="000000"/>
          <w:sz w:val="20"/>
          <w:vertAlign w:val="superscript"/>
          <w:lang w:val="en-GB"/>
        </w:rPr>
        <w:t>53,54</w:t>
      </w:r>
      <w:r>
        <w:rPr>
          <w:rFonts w:ascii="Arial" w:hAnsi="Arial" w:cs="Arial"/>
          <w:color w:val="000000"/>
          <w:sz w:val="20"/>
          <w:szCs w:val="20"/>
        </w:rPr>
        <w:fldChar w:fldCharType="end"/>
      </w:r>
      <w:r w:rsidR="00281722">
        <w:rPr>
          <w:rFonts w:ascii="Arial" w:hAnsi="Arial" w:cs="Arial"/>
          <w:color w:val="000000"/>
          <w:sz w:val="20"/>
          <w:szCs w:val="20"/>
        </w:rPr>
        <w:t xml:space="preserve"> (we based our implementation on those algorithms)</w:t>
      </w:r>
      <w:r>
        <w:rPr>
          <w:rFonts w:ascii="Arial" w:hAnsi="Arial" w:cs="Arial"/>
          <w:color w:val="000000"/>
          <w:sz w:val="20"/>
          <w:szCs w:val="20"/>
        </w:rPr>
        <w:t>,</w:t>
      </w:r>
      <w:r w:rsidR="00281722">
        <w:rPr>
          <w:rFonts w:ascii="Arial" w:hAnsi="Arial" w:cs="Arial"/>
          <w:color w:val="000000"/>
          <w:sz w:val="20"/>
          <w:szCs w:val="20"/>
        </w:rPr>
        <w:t xml:space="preserve"> but have also been proposed in the context of inverse problems using Kalman filters </w:t>
      </w:r>
      <w:ins w:id="35" w:author="Cascante Vega, Jaime E." w:date="2023-04-27T17:01:00Z">
        <w:r w:rsidR="00C9466E">
          <w:rPr>
            <w:rFonts w:ascii="Arial" w:hAnsi="Arial" w:cs="Arial"/>
            <w:color w:val="000000"/>
            <w:sz w:val="20"/>
            <w:szCs w:val="20"/>
          </w:rPr>
          <w:t>(cite)</w:t>
        </w:r>
      </w:ins>
      <w:r w:rsidR="00281722">
        <w:rPr>
          <w:rFonts w:ascii="Arial" w:hAnsi="Arial" w:cs="Arial"/>
          <w:color w:val="000000"/>
          <w:sz w:val="20"/>
          <w:szCs w:val="20"/>
        </w:rPr>
        <w:t>.</w:t>
      </w:r>
      <w:r>
        <w:rPr>
          <w:rFonts w:ascii="Arial" w:hAnsi="Arial" w:cs="Arial"/>
          <w:color w:val="000000"/>
          <w:sz w:val="20"/>
          <w:szCs w:val="20"/>
        </w:rPr>
        <w:t xml:space="preserve"> </w:t>
      </w:r>
      <w:r w:rsidR="00281722">
        <w:rPr>
          <w:rFonts w:ascii="Arial" w:hAnsi="Arial" w:cs="Arial"/>
          <w:color w:val="000000"/>
          <w:sz w:val="20"/>
          <w:szCs w:val="20"/>
        </w:rPr>
        <w:t xml:space="preserve">We substitute </w:t>
      </w:r>
      <w:r>
        <w:rPr>
          <w:rFonts w:ascii="Arial" w:hAnsi="Arial" w:cs="Arial"/>
          <w:color w:val="000000"/>
          <w:sz w:val="20"/>
          <w:szCs w:val="20"/>
        </w:rPr>
        <w:t xml:space="preserve">the usual ODE model form with the ABM. The implementation of the IF-EAKF in </w:t>
      </w:r>
      <w:r w:rsidR="00590AF7">
        <w:rPr>
          <w:rFonts w:ascii="Arial" w:hAnsi="Arial" w:cs="Arial"/>
          <w:color w:val="000000"/>
          <w:sz w:val="20"/>
          <w:szCs w:val="20"/>
        </w:rPr>
        <w:t>Python</w:t>
      </w:r>
      <w:r>
        <w:rPr>
          <w:rFonts w:ascii="Arial" w:hAnsi="Arial" w:cs="Arial"/>
          <w:color w:val="000000"/>
          <w:sz w:val="20"/>
          <w:szCs w:val="20"/>
        </w:rPr>
        <w:t xml:space="preserve"> was made using the packages NumPy and SciPy </w:t>
      </w:r>
      <w:r>
        <w:rPr>
          <w:rFonts w:ascii="Arial" w:hAnsi="Arial" w:cs="Arial"/>
          <w:color w:val="000000"/>
          <w:sz w:val="20"/>
          <w:szCs w:val="20"/>
        </w:rPr>
        <w:fldChar w:fldCharType="begin"/>
      </w:r>
      <w:r w:rsidR="00697AC4">
        <w:rPr>
          <w:rFonts w:ascii="Arial" w:hAnsi="Arial" w:cs="Arial"/>
          <w:color w:val="000000"/>
          <w:sz w:val="20"/>
          <w:szCs w:val="20"/>
        </w:rPr>
        <w:instrText xml:space="preserve"> ADDIN ZOTERO_ITEM CSL_CITATION {"citationID":"wLZivfXX","properties":{"formattedCitation":"\\super 55,56\\nosupersub{}","plainCitation":"55,56","noteIndex":0},"citationItems":[{"id":212,"uris":["http://zotero.org/users/9551388/items/N275R7HA"],"itemData":{"id":212,"type":"article-journal","abstract":"Abstract\n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697AC4" w:rsidRPr="00697AC4">
        <w:rPr>
          <w:rFonts w:ascii="Arial" w:hAnsi="Arial" w:cs="Arial"/>
          <w:color w:val="000000"/>
          <w:sz w:val="20"/>
          <w:vertAlign w:val="superscript"/>
          <w:lang w:val="en-GB"/>
        </w:rPr>
        <w:t>55,56</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04A89874" w14:textId="5996CE46"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w:t>
      </w:r>
      <w:del w:id="36" w:author="Cascante Vega, Jaime E." w:date="2023-04-27T17:03:00Z">
        <w:r w:rsidDel="00C9466E">
          <w:rPr>
            <w:rFonts w:ascii="Arial" w:hAnsi="Arial" w:cs="Arial"/>
            <w:color w:val="000000"/>
            <w:sz w:val="20"/>
            <w:szCs w:val="20"/>
          </w:rPr>
          <w:delText xml:space="preserve">outbreaks </w:delText>
        </w:r>
      </w:del>
      <w:ins w:id="37" w:author="Cascante Vega, Jaime E." w:date="2023-04-27T17:03:00Z">
        <w:r w:rsidR="00C9466E">
          <w:rPr>
            <w:rFonts w:ascii="Arial" w:hAnsi="Arial" w:cs="Arial"/>
            <w:color w:val="000000"/>
            <w:sz w:val="20"/>
            <w:szCs w:val="20"/>
          </w:rPr>
          <w:t xml:space="preserve">nosocomial detections </w:t>
        </w:r>
      </w:ins>
      <w:r>
        <w:rPr>
          <w:rFonts w:ascii="Arial" w:hAnsi="Arial" w:cs="Arial"/>
          <w:color w:val="000000"/>
          <w:sz w:val="20"/>
          <w:szCs w:val="20"/>
        </w:rPr>
        <w:t>(i.e.,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24B98E22"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We also performed sensitivity analysis on the Observational Error Variance (OEV) used in the </w:t>
      </w:r>
      <w:r w:rsidR="00A9255D">
        <w:rPr>
          <w:rFonts w:ascii="Arial" w:hAnsi="Arial" w:cs="Arial"/>
          <w:sz w:val="20"/>
          <w:szCs w:val="20"/>
        </w:rPr>
        <w:t>I</w:t>
      </w:r>
      <w:r>
        <w:rPr>
          <w:rFonts w:ascii="Arial" w:hAnsi="Arial" w:cs="Arial"/>
          <w:sz w:val="20"/>
          <w:szCs w:val="20"/>
        </w:rPr>
        <w:t>F-EAKF to investigate its impact on inferred parameter outcomes</w:t>
      </w:r>
      <w:r w:rsidR="00ED7842">
        <w:rPr>
          <w:rFonts w:ascii="Arial" w:hAnsi="Arial" w:cs="Arial"/>
          <w:sz w:val="20"/>
          <w:szCs w:val="20"/>
        </w:rPr>
        <w:t xml:space="preserve"> (See Figure S14)</w:t>
      </w:r>
      <w:r>
        <w:rPr>
          <w:rFonts w:ascii="Arial" w:hAnsi="Arial" w:cs="Arial"/>
          <w:sz w:val="20"/>
          <w:szCs w:val="20"/>
        </w:rPr>
        <w:t>. Finally</w:t>
      </w:r>
      <w:r w:rsidR="00673330">
        <w:rPr>
          <w:rFonts w:ascii="Arial" w:hAnsi="Arial" w:cs="Arial"/>
          <w:sz w:val="20"/>
          <w:szCs w:val="20"/>
        </w:rPr>
        <w:t>,</w:t>
      </w:r>
      <w:r>
        <w:rPr>
          <w:rFonts w:ascii="Arial" w:hAnsi="Arial" w:cs="Arial"/>
          <w:sz w:val="20"/>
          <w:szCs w:val="20"/>
        </w:rPr>
        <w:t xml:space="preserve"> we performed a sensitivity analysis that excluded wards only receiving outpatients (See SI for further details</w:t>
      </w:r>
      <w:r w:rsidR="004916EC">
        <w:rPr>
          <w:rFonts w:ascii="Arial" w:hAnsi="Arial" w:cs="Arial"/>
          <w:sz w:val="20"/>
          <w:szCs w:val="20"/>
        </w:rPr>
        <w:t>, Figures S</w:t>
      </w:r>
      <w:r w:rsidR="003D6104">
        <w:rPr>
          <w:rFonts w:ascii="Arial" w:hAnsi="Arial" w:cs="Arial"/>
          <w:sz w:val="20"/>
          <w:szCs w:val="20"/>
        </w:rPr>
        <w:t>9</w:t>
      </w:r>
      <w:r w:rsidR="004916EC">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0BFF4540" w:rsidR="00980C22" w:rsidRPr="00980C22" w:rsidRDefault="008D7B47" w:rsidP="003F620A">
      <w:pPr>
        <w:pBdr>
          <w:top w:val="nil"/>
          <w:left w:val="nil"/>
          <w:bottom w:val="nil"/>
          <w:right w:val="nil"/>
          <w:between w:val="nil"/>
        </w:pBdr>
        <w:spacing w:line="360" w:lineRule="auto"/>
        <w:contextualSpacing/>
        <w:jc w:val="both"/>
        <w:rPr>
          <w:rFonts w:ascii="Arial" w:hAnsi="Arial" w:cs="Arial"/>
          <w:color w:val="000000"/>
          <w:sz w:val="20"/>
          <w:szCs w:val="20"/>
        </w:rPr>
      </w:pPr>
      <w:r w:rsidRPr="008D7B47">
        <w:rPr>
          <w:rFonts w:ascii="Arial" w:hAnsi="Arial" w:cs="Arial"/>
          <w:color w:val="000000"/>
          <w:sz w:val="20"/>
          <w:szCs w:val="20"/>
        </w:rPr>
        <w:t xml:space="preserve">This study was supported by funding from the Centers for Disease Control and Prevention U01CK000592 and 75D30122C14289. We thank Matteo Perini 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28CACE9B"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fldChar w:fldCharType="begin"/>
      </w:r>
      <w:r w:rsidR="00FE7FF6">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993C0B">
        <w:rPr>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w:t>
      </w:r>
      <w:r w:rsidRPr="008D7B47">
        <w:rPr>
          <w:rFonts w:ascii="Arial" w:hAnsi="Arial" w:cs="Arial"/>
          <w:color w:val="000000"/>
          <w:sz w:val="20"/>
          <w:szCs w:val="20"/>
        </w:rPr>
        <w:lastRenderedPageBreak/>
        <w:t xml:space="preserve">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8669B2F" w14:textId="208EDCD6" w:rsidR="00962E89" w:rsidRDefault="00962E89"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B4D0C88" w14:textId="0A2F4256"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6F3EA61" w14:textId="36738718" w:rsidR="00374A77" w:rsidRDefault="00374A77"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tbl>
      <w:tblPr>
        <w:tblStyle w:val="TableGridLight"/>
        <w:tblW w:w="6505" w:type="dxa"/>
        <w:tblLook w:val="04A0" w:firstRow="1" w:lastRow="0" w:firstColumn="1" w:lastColumn="0" w:noHBand="0" w:noVBand="1"/>
      </w:tblPr>
      <w:tblGrid>
        <w:gridCol w:w="1413"/>
        <w:gridCol w:w="2161"/>
        <w:gridCol w:w="2931"/>
      </w:tblGrid>
      <w:tr w:rsidR="00962E89" w14:paraId="750CB168" w14:textId="77777777" w:rsidTr="002C2774">
        <w:trPr>
          <w:trHeight w:val="363"/>
        </w:trPr>
        <w:tc>
          <w:tcPr>
            <w:tcW w:w="1413" w:type="dxa"/>
          </w:tcPr>
          <w:p w14:paraId="20D690FF" w14:textId="77777777" w:rsidR="00962E89" w:rsidRPr="00435065" w:rsidRDefault="00962E89" w:rsidP="009D3DD5">
            <w:pPr>
              <w:spacing w:line="360" w:lineRule="auto"/>
              <w:jc w:val="both"/>
              <w:rPr>
                <w:rFonts w:ascii="Arial" w:hAnsi="Arial" w:cs="Arial"/>
                <w:b/>
                <w:bCs/>
                <w:sz w:val="20"/>
                <w:szCs w:val="20"/>
              </w:rPr>
            </w:pPr>
          </w:p>
        </w:tc>
        <w:tc>
          <w:tcPr>
            <w:tcW w:w="2161" w:type="dxa"/>
          </w:tcPr>
          <w:p w14:paraId="62853996"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Importation probability </w:t>
            </w:r>
            <m:oMath>
              <m:r>
                <m:rPr>
                  <m:sty m:val="bi"/>
                </m:rPr>
                <w:rPr>
                  <w:rFonts w:ascii="Cambria Math" w:hAnsi="Cambria Math" w:cs="Arial"/>
                  <w:sz w:val="20"/>
                  <w:szCs w:val="20"/>
                </w:rPr>
                <m:t>γ</m:t>
              </m:r>
            </m:oMath>
          </w:p>
        </w:tc>
        <w:tc>
          <w:tcPr>
            <w:tcW w:w="2931" w:type="dxa"/>
          </w:tcPr>
          <w:p w14:paraId="2BFF1D1D"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Nosocomial contact transmission rate </w:t>
            </w:r>
            <m:oMath>
              <m:r>
                <m:rPr>
                  <m:sty m:val="bi"/>
                </m:rPr>
                <w:rPr>
                  <w:rFonts w:ascii="Cambria Math" w:hAnsi="Cambria Math" w:cs="Arial"/>
                  <w:sz w:val="20"/>
                  <w:szCs w:val="20"/>
                </w:rPr>
                <m:t>β</m:t>
              </m:r>
            </m:oMath>
          </w:p>
        </w:tc>
      </w:tr>
      <w:tr w:rsidR="00962E89" w14:paraId="67D384E1" w14:textId="77777777" w:rsidTr="002C2774">
        <w:trPr>
          <w:trHeight w:val="262"/>
        </w:trPr>
        <w:tc>
          <w:tcPr>
            <w:tcW w:w="1413" w:type="dxa"/>
          </w:tcPr>
          <w:p w14:paraId="02FED4C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w:t>
            </w:r>
          </w:p>
        </w:tc>
        <w:tc>
          <w:tcPr>
            <w:tcW w:w="2161" w:type="dxa"/>
          </w:tcPr>
          <w:p w14:paraId="053487D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4B4D196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1288622" w14:textId="77777777" w:rsidTr="002C2774">
        <w:trPr>
          <w:trHeight w:val="363"/>
        </w:trPr>
        <w:tc>
          <w:tcPr>
            <w:tcW w:w="1413" w:type="dxa"/>
          </w:tcPr>
          <w:p w14:paraId="389D96D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2</w:t>
            </w:r>
          </w:p>
        </w:tc>
        <w:tc>
          <w:tcPr>
            <w:tcW w:w="2161" w:type="dxa"/>
          </w:tcPr>
          <w:p w14:paraId="10AF72B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0.05</w:t>
            </w:r>
          </w:p>
        </w:tc>
        <w:tc>
          <w:tcPr>
            <w:tcW w:w="2931" w:type="dxa"/>
          </w:tcPr>
          <w:p w14:paraId="35CFD4EE"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AE3670D" w14:textId="77777777" w:rsidTr="002C2774">
        <w:trPr>
          <w:trHeight w:val="363"/>
        </w:trPr>
        <w:tc>
          <w:tcPr>
            <w:tcW w:w="1413" w:type="dxa"/>
          </w:tcPr>
          <w:p w14:paraId="0AAE676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3</w:t>
            </w:r>
          </w:p>
        </w:tc>
        <w:tc>
          <w:tcPr>
            <w:tcW w:w="2161" w:type="dxa"/>
          </w:tcPr>
          <w:p w14:paraId="5FC16B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0.07</w:t>
            </w:r>
          </w:p>
        </w:tc>
        <w:tc>
          <w:tcPr>
            <w:tcW w:w="2931" w:type="dxa"/>
          </w:tcPr>
          <w:p w14:paraId="1A4602B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3B69F689" w14:textId="77777777" w:rsidTr="002C2774">
        <w:trPr>
          <w:trHeight w:val="363"/>
        </w:trPr>
        <w:tc>
          <w:tcPr>
            <w:tcW w:w="1413" w:type="dxa"/>
          </w:tcPr>
          <w:p w14:paraId="50F50A2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4</w:t>
            </w:r>
          </w:p>
        </w:tc>
        <w:tc>
          <w:tcPr>
            <w:tcW w:w="2161" w:type="dxa"/>
          </w:tcPr>
          <w:p w14:paraId="63936F5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2A23D33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w:t>
            </w:r>
          </w:p>
        </w:tc>
      </w:tr>
      <w:tr w:rsidR="00962E89" w14:paraId="5317D4D1" w14:textId="77777777" w:rsidTr="002C2774">
        <w:trPr>
          <w:trHeight w:val="363"/>
        </w:trPr>
        <w:tc>
          <w:tcPr>
            <w:tcW w:w="1413" w:type="dxa"/>
          </w:tcPr>
          <w:p w14:paraId="6B23C9A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5</w:t>
            </w:r>
          </w:p>
        </w:tc>
        <w:tc>
          <w:tcPr>
            <w:tcW w:w="2161" w:type="dxa"/>
          </w:tcPr>
          <w:p w14:paraId="56FBC403"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139B97B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40348CE6" w14:textId="77777777" w:rsidTr="002C2774">
        <w:trPr>
          <w:trHeight w:val="363"/>
        </w:trPr>
        <w:tc>
          <w:tcPr>
            <w:tcW w:w="1413" w:type="dxa"/>
          </w:tcPr>
          <w:p w14:paraId="544C3C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6</w:t>
            </w:r>
          </w:p>
        </w:tc>
        <w:tc>
          <w:tcPr>
            <w:tcW w:w="2161" w:type="dxa"/>
          </w:tcPr>
          <w:p w14:paraId="0BB9EDE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76E8132D"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0.025</w:t>
            </w:r>
          </w:p>
        </w:tc>
      </w:tr>
      <w:tr w:rsidR="00962E89" w14:paraId="6BEF09D1" w14:textId="77777777" w:rsidTr="002C2774">
        <w:trPr>
          <w:trHeight w:val="363"/>
        </w:trPr>
        <w:tc>
          <w:tcPr>
            <w:tcW w:w="1413" w:type="dxa"/>
          </w:tcPr>
          <w:p w14:paraId="3B0E2E9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7</w:t>
            </w:r>
          </w:p>
        </w:tc>
        <w:tc>
          <w:tcPr>
            <w:tcW w:w="2161" w:type="dxa"/>
          </w:tcPr>
          <w:p w14:paraId="2A1E4B4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0.015</w:t>
            </w:r>
          </w:p>
        </w:tc>
        <w:tc>
          <w:tcPr>
            <w:tcW w:w="2931" w:type="dxa"/>
          </w:tcPr>
          <w:p w14:paraId="673B606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10DD4A81" w14:textId="77777777" w:rsidTr="002C2774">
        <w:trPr>
          <w:trHeight w:val="363"/>
        </w:trPr>
        <w:tc>
          <w:tcPr>
            <w:tcW w:w="1413" w:type="dxa"/>
          </w:tcPr>
          <w:p w14:paraId="4C58770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8</w:t>
            </w:r>
          </w:p>
        </w:tc>
        <w:tc>
          <w:tcPr>
            <w:tcW w:w="2161" w:type="dxa"/>
          </w:tcPr>
          <w:p w14:paraId="78DC561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0.15</w:t>
            </w:r>
          </w:p>
        </w:tc>
        <w:tc>
          <w:tcPr>
            <w:tcW w:w="2931" w:type="dxa"/>
          </w:tcPr>
          <w:p w14:paraId="37DF697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577915EA" w14:textId="77777777" w:rsidTr="002C2774">
        <w:trPr>
          <w:trHeight w:val="363"/>
        </w:trPr>
        <w:tc>
          <w:tcPr>
            <w:tcW w:w="1413" w:type="dxa"/>
          </w:tcPr>
          <w:p w14:paraId="147FF5A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9</w:t>
            </w:r>
          </w:p>
        </w:tc>
        <w:tc>
          <w:tcPr>
            <w:tcW w:w="2161" w:type="dxa"/>
          </w:tcPr>
          <w:p w14:paraId="0BFFE9C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0.20</w:t>
            </w:r>
          </w:p>
        </w:tc>
        <w:tc>
          <w:tcPr>
            <w:tcW w:w="2931" w:type="dxa"/>
          </w:tcPr>
          <w:p w14:paraId="73B73BA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r>
      <w:tr w:rsidR="00962E89" w14:paraId="65CA8F22" w14:textId="77777777" w:rsidTr="002C2774">
        <w:trPr>
          <w:trHeight w:val="363"/>
        </w:trPr>
        <w:tc>
          <w:tcPr>
            <w:tcW w:w="1413" w:type="dxa"/>
          </w:tcPr>
          <w:p w14:paraId="5B4AA98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10</w:t>
            </w:r>
          </w:p>
        </w:tc>
        <w:tc>
          <w:tcPr>
            <w:tcW w:w="2161" w:type="dxa"/>
          </w:tcPr>
          <w:p w14:paraId="5A56224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0.30</w:t>
            </w:r>
          </w:p>
        </w:tc>
        <w:tc>
          <w:tcPr>
            <w:tcW w:w="2931" w:type="dxa"/>
          </w:tcPr>
          <w:p w14:paraId="356E5BF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0.035</w:t>
            </w:r>
          </w:p>
        </w:tc>
      </w:tr>
    </w:tbl>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lastRenderedPageBreak/>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ascante Vega, Jaime E." w:date="2023-04-18T21:31:00Z" w:initials="CVJE">
    <w:p w14:paraId="71BF46C6" w14:textId="77777777" w:rsidR="0063202C" w:rsidRDefault="0063202C" w:rsidP="00331EB2">
      <w:r>
        <w:rPr>
          <w:rStyle w:val="CommentReference"/>
        </w:rPr>
        <w:annotationRef/>
      </w:r>
      <w:r>
        <w:rPr>
          <w:rFonts w:ascii="Times New Roman" w:eastAsia="Times New Roman" w:hAnsi="Times New Roman" w:cs="Times New Roman"/>
          <w:color w:val="000000"/>
          <w:sz w:val="20"/>
          <w:szCs w:val="20"/>
        </w:rPr>
        <w:t>Something with more context here.</w:t>
      </w:r>
    </w:p>
  </w:comment>
  <w:comment w:id="8" w:author="Cascante Vega, Jaime E." w:date="2023-04-25T22:24:00Z" w:initials="CVJE">
    <w:p w14:paraId="6E0DCBB7" w14:textId="77777777" w:rsidR="00707155" w:rsidRDefault="00707155" w:rsidP="00A17832">
      <w:r>
        <w:rPr>
          <w:rStyle w:val="CommentReference"/>
        </w:rPr>
        <w:annotationRef/>
      </w:r>
      <w:r>
        <w:rPr>
          <w:rFonts w:ascii="Times New Roman" w:eastAsia="Times New Roman" w:hAnsi="Times New Roman" w:cs="Times New Roman"/>
          <w:color w:val="000000"/>
          <w:sz w:val="20"/>
          <w:szCs w:val="20"/>
        </w:rPr>
        <w:t>Is there a citation for Tal’s already?</w:t>
      </w:r>
    </w:p>
    <w:p w14:paraId="6528FEA9" w14:textId="77777777" w:rsidR="00707155" w:rsidRDefault="00707155" w:rsidP="00A17832"/>
  </w:comment>
  <w:comment w:id="16" w:author="Cascante Vega, Jaime E." w:date="2023-04-26T16:04:00Z" w:initials="CVJE">
    <w:p w14:paraId="5851F81E" w14:textId="77777777" w:rsidR="00927FA9" w:rsidRDefault="005F0E97" w:rsidP="007A0927">
      <w:r>
        <w:rPr>
          <w:rStyle w:val="CommentReference"/>
        </w:rPr>
        <w:annotationRef/>
      </w:r>
      <w:r w:rsidR="00927FA9">
        <w:rPr>
          <w:rFonts w:ascii="Times New Roman" w:eastAsia="Times New Roman" w:hAnsi="Times New Roman" w:cs="Times New Roman"/>
          <w:sz w:val="20"/>
          <w:szCs w:val="20"/>
        </w:rPr>
        <w:t xml:space="preserve">- a product of non-linear dynamics and stochasticity (see </w:t>
      </w:r>
      <w:r w:rsidR="00927FA9">
        <w:rPr>
          <w:rFonts w:ascii="Times New Roman" w:eastAsia="Times New Roman" w:hAnsi="Times New Roman" w:cs="Times New Roman"/>
          <w:sz w:val="20"/>
          <w:szCs w:val="20"/>
          <w:u w:val="single"/>
        </w:rPr>
        <w:t xml:space="preserve">Alonso and Pascual, Pei, Cane and Shaman </w:t>
      </w:r>
      <w:r w:rsidR="00927FA9">
        <w:rPr>
          <w:rFonts w:ascii="Times New Roman" w:eastAsia="Times New Roman" w:hAnsi="Times New Roman" w:cs="Times New Roman"/>
          <w:sz w:val="20"/>
          <w:szCs w:val="20"/>
        </w:rPr>
        <w:t xml:space="preserve">for a good model setting for an appropriate mathematical treatment)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F46C6" w15:done="0"/>
  <w15:commentEx w15:paraId="6528FEA9" w15:done="0"/>
  <w15:commentEx w15:paraId="5851F8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8ACE" w16cex:dateUtc="2023-04-19T01:31:00Z"/>
  <w16cex:commentExtensible w16cex:durableId="27F2D1BC" w16cex:dateUtc="2023-04-26T02:24:00Z"/>
  <w16cex:commentExtensible w16cex:durableId="27F3C9F3" w16cex:dateUtc="2023-04-26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F46C6" w16cid:durableId="27E98ACE"/>
  <w16cid:commentId w16cid:paraId="6528FEA9" w16cid:durableId="27F2D1BC"/>
  <w16cid:commentId w16cid:paraId="5851F81E" w16cid:durableId="27F3C9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6468C" w14:textId="77777777" w:rsidR="00935104" w:rsidRDefault="00935104">
      <w:pPr>
        <w:spacing w:after="0"/>
      </w:pPr>
      <w:r>
        <w:separator/>
      </w:r>
    </w:p>
  </w:endnote>
  <w:endnote w:type="continuationSeparator" w:id="0">
    <w:p w14:paraId="016649C1" w14:textId="77777777" w:rsidR="00935104" w:rsidRDefault="00935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6D90F" w14:textId="77777777" w:rsidR="00935104" w:rsidRDefault="00935104">
      <w:pPr>
        <w:spacing w:after="0"/>
      </w:pPr>
      <w:r>
        <w:separator/>
      </w:r>
    </w:p>
  </w:footnote>
  <w:footnote w:type="continuationSeparator" w:id="0">
    <w:p w14:paraId="51797DB5" w14:textId="77777777" w:rsidR="00935104" w:rsidRDefault="00935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7ED"/>
    <w:rsid w:val="00010D7D"/>
    <w:rsid w:val="000120EB"/>
    <w:rsid w:val="00012E92"/>
    <w:rsid w:val="00013879"/>
    <w:rsid w:val="000154A8"/>
    <w:rsid w:val="0001617A"/>
    <w:rsid w:val="000209A5"/>
    <w:rsid w:val="000221F7"/>
    <w:rsid w:val="00024FD3"/>
    <w:rsid w:val="00033A03"/>
    <w:rsid w:val="00036669"/>
    <w:rsid w:val="000376E8"/>
    <w:rsid w:val="000420E0"/>
    <w:rsid w:val="000443BD"/>
    <w:rsid w:val="000446EF"/>
    <w:rsid w:val="00045125"/>
    <w:rsid w:val="00056BEB"/>
    <w:rsid w:val="00057B63"/>
    <w:rsid w:val="00061DEF"/>
    <w:rsid w:val="000632D3"/>
    <w:rsid w:val="0006342B"/>
    <w:rsid w:val="00065E7F"/>
    <w:rsid w:val="0006642F"/>
    <w:rsid w:val="00072912"/>
    <w:rsid w:val="000768C9"/>
    <w:rsid w:val="000806EA"/>
    <w:rsid w:val="00081AEE"/>
    <w:rsid w:val="000857B0"/>
    <w:rsid w:val="00090F5C"/>
    <w:rsid w:val="000A06E5"/>
    <w:rsid w:val="000A2803"/>
    <w:rsid w:val="000A5327"/>
    <w:rsid w:val="000B0E4F"/>
    <w:rsid w:val="000B2672"/>
    <w:rsid w:val="000B3A92"/>
    <w:rsid w:val="000C3044"/>
    <w:rsid w:val="000C38C2"/>
    <w:rsid w:val="000D6C41"/>
    <w:rsid w:val="000E161A"/>
    <w:rsid w:val="000E1854"/>
    <w:rsid w:val="000E36FD"/>
    <w:rsid w:val="000E38A1"/>
    <w:rsid w:val="000E3957"/>
    <w:rsid w:val="000E4321"/>
    <w:rsid w:val="000E7B07"/>
    <w:rsid w:val="000F17BE"/>
    <w:rsid w:val="000F6CCC"/>
    <w:rsid w:val="000F757F"/>
    <w:rsid w:val="00101040"/>
    <w:rsid w:val="00102D22"/>
    <w:rsid w:val="00116D03"/>
    <w:rsid w:val="0012157F"/>
    <w:rsid w:val="00124BF9"/>
    <w:rsid w:val="001314F1"/>
    <w:rsid w:val="00131AD6"/>
    <w:rsid w:val="001329A1"/>
    <w:rsid w:val="00132CE3"/>
    <w:rsid w:val="001331B3"/>
    <w:rsid w:val="00133910"/>
    <w:rsid w:val="00133BEF"/>
    <w:rsid w:val="001449CE"/>
    <w:rsid w:val="00145277"/>
    <w:rsid w:val="00146381"/>
    <w:rsid w:val="00146ED4"/>
    <w:rsid w:val="00154160"/>
    <w:rsid w:val="00154996"/>
    <w:rsid w:val="00154C10"/>
    <w:rsid w:val="00156368"/>
    <w:rsid w:val="00162827"/>
    <w:rsid w:val="00170C7C"/>
    <w:rsid w:val="00170E3A"/>
    <w:rsid w:val="00182668"/>
    <w:rsid w:val="0018679C"/>
    <w:rsid w:val="001917DA"/>
    <w:rsid w:val="00192F6D"/>
    <w:rsid w:val="00193D04"/>
    <w:rsid w:val="00197222"/>
    <w:rsid w:val="001A3D5F"/>
    <w:rsid w:val="001A4C71"/>
    <w:rsid w:val="001B35D9"/>
    <w:rsid w:val="001B7689"/>
    <w:rsid w:val="001C1BA3"/>
    <w:rsid w:val="001D37D4"/>
    <w:rsid w:val="001D6A67"/>
    <w:rsid w:val="001E07C7"/>
    <w:rsid w:val="001F15B5"/>
    <w:rsid w:val="001F37F9"/>
    <w:rsid w:val="001F5376"/>
    <w:rsid w:val="001F6AC2"/>
    <w:rsid w:val="00205AA7"/>
    <w:rsid w:val="00215411"/>
    <w:rsid w:val="00215F17"/>
    <w:rsid w:val="002457B3"/>
    <w:rsid w:val="002615B1"/>
    <w:rsid w:val="00263BFB"/>
    <w:rsid w:val="00263FF9"/>
    <w:rsid w:val="00270945"/>
    <w:rsid w:val="00271336"/>
    <w:rsid w:val="00272265"/>
    <w:rsid w:val="002774EE"/>
    <w:rsid w:val="00280A15"/>
    <w:rsid w:val="00281722"/>
    <w:rsid w:val="00284B05"/>
    <w:rsid w:val="002876C6"/>
    <w:rsid w:val="00293D3C"/>
    <w:rsid w:val="002A12C0"/>
    <w:rsid w:val="002A1ABE"/>
    <w:rsid w:val="002A3468"/>
    <w:rsid w:val="002A7053"/>
    <w:rsid w:val="002B2848"/>
    <w:rsid w:val="002B2A86"/>
    <w:rsid w:val="002B2C40"/>
    <w:rsid w:val="002B60E3"/>
    <w:rsid w:val="002C3109"/>
    <w:rsid w:val="002D41AA"/>
    <w:rsid w:val="002D7AF7"/>
    <w:rsid w:val="002E1FA8"/>
    <w:rsid w:val="002F1B0A"/>
    <w:rsid w:val="002F3AFA"/>
    <w:rsid w:val="0031064D"/>
    <w:rsid w:val="0031480A"/>
    <w:rsid w:val="0031564A"/>
    <w:rsid w:val="00321B8A"/>
    <w:rsid w:val="003234E4"/>
    <w:rsid w:val="00326595"/>
    <w:rsid w:val="0032681B"/>
    <w:rsid w:val="00326DFC"/>
    <w:rsid w:val="00333F4D"/>
    <w:rsid w:val="0033470D"/>
    <w:rsid w:val="00334830"/>
    <w:rsid w:val="00343899"/>
    <w:rsid w:val="00344B19"/>
    <w:rsid w:val="00353736"/>
    <w:rsid w:val="0035786C"/>
    <w:rsid w:val="00365684"/>
    <w:rsid w:val="00373E08"/>
    <w:rsid w:val="00374A77"/>
    <w:rsid w:val="00374E84"/>
    <w:rsid w:val="00375E79"/>
    <w:rsid w:val="0038068E"/>
    <w:rsid w:val="0038158A"/>
    <w:rsid w:val="00382EFA"/>
    <w:rsid w:val="003830A5"/>
    <w:rsid w:val="003833B6"/>
    <w:rsid w:val="003857B4"/>
    <w:rsid w:val="00385DA5"/>
    <w:rsid w:val="00386860"/>
    <w:rsid w:val="00387E73"/>
    <w:rsid w:val="003B4542"/>
    <w:rsid w:val="003C2682"/>
    <w:rsid w:val="003C4174"/>
    <w:rsid w:val="003D0CA7"/>
    <w:rsid w:val="003D6104"/>
    <w:rsid w:val="003D62E6"/>
    <w:rsid w:val="003E113C"/>
    <w:rsid w:val="003E18D5"/>
    <w:rsid w:val="003E2CF3"/>
    <w:rsid w:val="003F0DC8"/>
    <w:rsid w:val="003F1101"/>
    <w:rsid w:val="003F1390"/>
    <w:rsid w:val="003F5F0B"/>
    <w:rsid w:val="003F620A"/>
    <w:rsid w:val="003F627C"/>
    <w:rsid w:val="004033B5"/>
    <w:rsid w:val="004037BB"/>
    <w:rsid w:val="00407F9C"/>
    <w:rsid w:val="004164D7"/>
    <w:rsid w:val="00423CC5"/>
    <w:rsid w:val="00430EA8"/>
    <w:rsid w:val="004332C2"/>
    <w:rsid w:val="00437FEB"/>
    <w:rsid w:val="00444896"/>
    <w:rsid w:val="004460D7"/>
    <w:rsid w:val="0044630F"/>
    <w:rsid w:val="0044643D"/>
    <w:rsid w:val="00452621"/>
    <w:rsid w:val="004528EF"/>
    <w:rsid w:val="00453F37"/>
    <w:rsid w:val="004546BD"/>
    <w:rsid w:val="00456CA1"/>
    <w:rsid w:val="004608A9"/>
    <w:rsid w:val="00461D76"/>
    <w:rsid w:val="004633B1"/>
    <w:rsid w:val="0046448C"/>
    <w:rsid w:val="004662C7"/>
    <w:rsid w:val="004737A3"/>
    <w:rsid w:val="00474D11"/>
    <w:rsid w:val="00474FFE"/>
    <w:rsid w:val="00476359"/>
    <w:rsid w:val="004768C8"/>
    <w:rsid w:val="0047735C"/>
    <w:rsid w:val="00481515"/>
    <w:rsid w:val="00483D1D"/>
    <w:rsid w:val="0048503B"/>
    <w:rsid w:val="004911FC"/>
    <w:rsid w:val="004916EC"/>
    <w:rsid w:val="0049196F"/>
    <w:rsid w:val="0049270D"/>
    <w:rsid w:val="00492812"/>
    <w:rsid w:val="00492AF3"/>
    <w:rsid w:val="00496FEB"/>
    <w:rsid w:val="004A2F80"/>
    <w:rsid w:val="004A343D"/>
    <w:rsid w:val="004A5ED0"/>
    <w:rsid w:val="004A63F7"/>
    <w:rsid w:val="004B135C"/>
    <w:rsid w:val="004B4E9F"/>
    <w:rsid w:val="004B52FA"/>
    <w:rsid w:val="004B562A"/>
    <w:rsid w:val="004B6B58"/>
    <w:rsid w:val="004B7551"/>
    <w:rsid w:val="004C0A4B"/>
    <w:rsid w:val="004C49A2"/>
    <w:rsid w:val="004C7047"/>
    <w:rsid w:val="004D0B26"/>
    <w:rsid w:val="004D1409"/>
    <w:rsid w:val="004D2944"/>
    <w:rsid w:val="004E0EBD"/>
    <w:rsid w:val="004E3A25"/>
    <w:rsid w:val="004E4A36"/>
    <w:rsid w:val="004E5615"/>
    <w:rsid w:val="004E5C12"/>
    <w:rsid w:val="004E5CB9"/>
    <w:rsid w:val="004F08F3"/>
    <w:rsid w:val="0050001E"/>
    <w:rsid w:val="00500A32"/>
    <w:rsid w:val="005020A1"/>
    <w:rsid w:val="00502C76"/>
    <w:rsid w:val="00503930"/>
    <w:rsid w:val="005069FE"/>
    <w:rsid w:val="00506DEF"/>
    <w:rsid w:val="0051768D"/>
    <w:rsid w:val="0052161F"/>
    <w:rsid w:val="00522C38"/>
    <w:rsid w:val="005256E8"/>
    <w:rsid w:val="00530658"/>
    <w:rsid w:val="00534076"/>
    <w:rsid w:val="00535C23"/>
    <w:rsid w:val="00536D4D"/>
    <w:rsid w:val="005408D5"/>
    <w:rsid w:val="005417E0"/>
    <w:rsid w:val="00542F9C"/>
    <w:rsid w:val="005434E0"/>
    <w:rsid w:val="005518E7"/>
    <w:rsid w:val="00557045"/>
    <w:rsid w:val="005655E4"/>
    <w:rsid w:val="00566BEE"/>
    <w:rsid w:val="00567134"/>
    <w:rsid w:val="00567CDE"/>
    <w:rsid w:val="0058171C"/>
    <w:rsid w:val="005850F3"/>
    <w:rsid w:val="00586351"/>
    <w:rsid w:val="00586A73"/>
    <w:rsid w:val="00590AF7"/>
    <w:rsid w:val="00594567"/>
    <w:rsid w:val="00596708"/>
    <w:rsid w:val="0059670D"/>
    <w:rsid w:val="00596C2B"/>
    <w:rsid w:val="005A094A"/>
    <w:rsid w:val="005A1B4C"/>
    <w:rsid w:val="005A69DF"/>
    <w:rsid w:val="005A78D5"/>
    <w:rsid w:val="005B14F6"/>
    <w:rsid w:val="005B50E4"/>
    <w:rsid w:val="005B7D47"/>
    <w:rsid w:val="005C61C2"/>
    <w:rsid w:val="005C7DD7"/>
    <w:rsid w:val="005D2403"/>
    <w:rsid w:val="005E4095"/>
    <w:rsid w:val="005E5879"/>
    <w:rsid w:val="005E785C"/>
    <w:rsid w:val="005F0E97"/>
    <w:rsid w:val="005F114F"/>
    <w:rsid w:val="005F23B0"/>
    <w:rsid w:val="005F31EF"/>
    <w:rsid w:val="00605ED3"/>
    <w:rsid w:val="00610610"/>
    <w:rsid w:val="00614FC1"/>
    <w:rsid w:val="00620E6F"/>
    <w:rsid w:val="00620F75"/>
    <w:rsid w:val="00621786"/>
    <w:rsid w:val="00623869"/>
    <w:rsid w:val="00625E23"/>
    <w:rsid w:val="00631356"/>
    <w:rsid w:val="0063202C"/>
    <w:rsid w:val="00636B3C"/>
    <w:rsid w:val="006419B7"/>
    <w:rsid w:val="00653FD6"/>
    <w:rsid w:val="00654C0F"/>
    <w:rsid w:val="00657C18"/>
    <w:rsid w:val="006649E3"/>
    <w:rsid w:val="00671489"/>
    <w:rsid w:val="00673330"/>
    <w:rsid w:val="0067565D"/>
    <w:rsid w:val="00677C3C"/>
    <w:rsid w:val="00681C0C"/>
    <w:rsid w:val="006841ED"/>
    <w:rsid w:val="00685A26"/>
    <w:rsid w:val="00690FBA"/>
    <w:rsid w:val="006936F3"/>
    <w:rsid w:val="00694312"/>
    <w:rsid w:val="00697AC4"/>
    <w:rsid w:val="00697C33"/>
    <w:rsid w:val="006A0BFF"/>
    <w:rsid w:val="006A0C03"/>
    <w:rsid w:val="006A1DB8"/>
    <w:rsid w:val="006A3FFD"/>
    <w:rsid w:val="006A7251"/>
    <w:rsid w:val="006B459D"/>
    <w:rsid w:val="006B5D26"/>
    <w:rsid w:val="006B782B"/>
    <w:rsid w:val="006C0CF4"/>
    <w:rsid w:val="006C11F0"/>
    <w:rsid w:val="006C2CF8"/>
    <w:rsid w:val="006C4660"/>
    <w:rsid w:val="006D492D"/>
    <w:rsid w:val="006D5BEB"/>
    <w:rsid w:val="006D723C"/>
    <w:rsid w:val="006F219B"/>
    <w:rsid w:val="006F2519"/>
    <w:rsid w:val="006F2D38"/>
    <w:rsid w:val="006F6E0A"/>
    <w:rsid w:val="00700413"/>
    <w:rsid w:val="00704920"/>
    <w:rsid w:val="00706558"/>
    <w:rsid w:val="00706D79"/>
    <w:rsid w:val="00707155"/>
    <w:rsid w:val="007145E3"/>
    <w:rsid w:val="00720A6E"/>
    <w:rsid w:val="00720DDF"/>
    <w:rsid w:val="00721A44"/>
    <w:rsid w:val="00721BA7"/>
    <w:rsid w:val="00723768"/>
    <w:rsid w:val="0073114B"/>
    <w:rsid w:val="0074163E"/>
    <w:rsid w:val="00742AFF"/>
    <w:rsid w:val="007527BE"/>
    <w:rsid w:val="00757582"/>
    <w:rsid w:val="0075790B"/>
    <w:rsid w:val="007615F4"/>
    <w:rsid w:val="00772B93"/>
    <w:rsid w:val="00777469"/>
    <w:rsid w:val="00790332"/>
    <w:rsid w:val="007910E4"/>
    <w:rsid w:val="00792378"/>
    <w:rsid w:val="00797834"/>
    <w:rsid w:val="007A7907"/>
    <w:rsid w:val="007B098E"/>
    <w:rsid w:val="007B22C1"/>
    <w:rsid w:val="007B53C0"/>
    <w:rsid w:val="007C2D8A"/>
    <w:rsid w:val="007C4BFD"/>
    <w:rsid w:val="007D167C"/>
    <w:rsid w:val="007D4372"/>
    <w:rsid w:val="007E4B75"/>
    <w:rsid w:val="007F465E"/>
    <w:rsid w:val="0080393B"/>
    <w:rsid w:val="00803A25"/>
    <w:rsid w:val="00803FD4"/>
    <w:rsid w:val="008062DB"/>
    <w:rsid w:val="00807585"/>
    <w:rsid w:val="00812267"/>
    <w:rsid w:val="00826AC5"/>
    <w:rsid w:val="008305D2"/>
    <w:rsid w:val="008307A7"/>
    <w:rsid w:val="00830935"/>
    <w:rsid w:val="00832195"/>
    <w:rsid w:val="00833581"/>
    <w:rsid w:val="0083724F"/>
    <w:rsid w:val="008438FB"/>
    <w:rsid w:val="00843C44"/>
    <w:rsid w:val="008440E5"/>
    <w:rsid w:val="008443D2"/>
    <w:rsid w:val="00855A29"/>
    <w:rsid w:val="00855CFF"/>
    <w:rsid w:val="0085789D"/>
    <w:rsid w:val="008629F8"/>
    <w:rsid w:val="00871937"/>
    <w:rsid w:val="00874636"/>
    <w:rsid w:val="008753F5"/>
    <w:rsid w:val="00880D1C"/>
    <w:rsid w:val="0088396D"/>
    <w:rsid w:val="00884D5F"/>
    <w:rsid w:val="00885288"/>
    <w:rsid w:val="00890DC3"/>
    <w:rsid w:val="00891071"/>
    <w:rsid w:val="00893982"/>
    <w:rsid w:val="008972C3"/>
    <w:rsid w:val="00897E1C"/>
    <w:rsid w:val="008A0D9B"/>
    <w:rsid w:val="008A27D9"/>
    <w:rsid w:val="008A2F8F"/>
    <w:rsid w:val="008A44C4"/>
    <w:rsid w:val="008A55C1"/>
    <w:rsid w:val="008A592B"/>
    <w:rsid w:val="008A6841"/>
    <w:rsid w:val="008B3291"/>
    <w:rsid w:val="008B40A0"/>
    <w:rsid w:val="008C00CA"/>
    <w:rsid w:val="008C1E3F"/>
    <w:rsid w:val="008C31D2"/>
    <w:rsid w:val="008C3CA7"/>
    <w:rsid w:val="008C44CE"/>
    <w:rsid w:val="008D30EE"/>
    <w:rsid w:val="008D7B47"/>
    <w:rsid w:val="008D7E5A"/>
    <w:rsid w:val="008E1C35"/>
    <w:rsid w:val="008E3088"/>
    <w:rsid w:val="008E523D"/>
    <w:rsid w:val="008E6DB8"/>
    <w:rsid w:val="008F507C"/>
    <w:rsid w:val="008F53F8"/>
    <w:rsid w:val="008F7C16"/>
    <w:rsid w:val="00904FBD"/>
    <w:rsid w:val="0091425C"/>
    <w:rsid w:val="009145F8"/>
    <w:rsid w:val="00920BB6"/>
    <w:rsid w:val="00921C54"/>
    <w:rsid w:val="00925FE4"/>
    <w:rsid w:val="00927FA9"/>
    <w:rsid w:val="00930659"/>
    <w:rsid w:val="009326AB"/>
    <w:rsid w:val="00935104"/>
    <w:rsid w:val="00940CAF"/>
    <w:rsid w:val="00940EA0"/>
    <w:rsid w:val="0094137D"/>
    <w:rsid w:val="009574B8"/>
    <w:rsid w:val="009600A3"/>
    <w:rsid w:val="00962E89"/>
    <w:rsid w:val="00966481"/>
    <w:rsid w:val="00967D01"/>
    <w:rsid w:val="0097085D"/>
    <w:rsid w:val="009725B1"/>
    <w:rsid w:val="00973F74"/>
    <w:rsid w:val="00980C22"/>
    <w:rsid w:val="009914B1"/>
    <w:rsid w:val="00991EBD"/>
    <w:rsid w:val="00993B32"/>
    <w:rsid w:val="00993C0B"/>
    <w:rsid w:val="00994429"/>
    <w:rsid w:val="00997AE0"/>
    <w:rsid w:val="00997C60"/>
    <w:rsid w:val="009A00D0"/>
    <w:rsid w:val="009A3033"/>
    <w:rsid w:val="009B54CA"/>
    <w:rsid w:val="009B7446"/>
    <w:rsid w:val="009C01B6"/>
    <w:rsid w:val="009C49CA"/>
    <w:rsid w:val="009C558C"/>
    <w:rsid w:val="009D0C12"/>
    <w:rsid w:val="009D3121"/>
    <w:rsid w:val="009D326C"/>
    <w:rsid w:val="009D3DD5"/>
    <w:rsid w:val="009D7324"/>
    <w:rsid w:val="009E0461"/>
    <w:rsid w:val="009E10EE"/>
    <w:rsid w:val="009E6C31"/>
    <w:rsid w:val="009F166D"/>
    <w:rsid w:val="009F388B"/>
    <w:rsid w:val="009F3F46"/>
    <w:rsid w:val="009F66BE"/>
    <w:rsid w:val="00A01E3A"/>
    <w:rsid w:val="00A1401C"/>
    <w:rsid w:val="00A14EBD"/>
    <w:rsid w:val="00A15FBA"/>
    <w:rsid w:val="00A20445"/>
    <w:rsid w:val="00A21486"/>
    <w:rsid w:val="00A229F3"/>
    <w:rsid w:val="00A266C0"/>
    <w:rsid w:val="00A3144C"/>
    <w:rsid w:val="00A35F60"/>
    <w:rsid w:val="00A36209"/>
    <w:rsid w:val="00A5169A"/>
    <w:rsid w:val="00A53343"/>
    <w:rsid w:val="00A56BC0"/>
    <w:rsid w:val="00A57C78"/>
    <w:rsid w:val="00A607EA"/>
    <w:rsid w:val="00A60B63"/>
    <w:rsid w:val="00A61870"/>
    <w:rsid w:val="00A635A9"/>
    <w:rsid w:val="00A66999"/>
    <w:rsid w:val="00A67232"/>
    <w:rsid w:val="00A710F3"/>
    <w:rsid w:val="00A84A73"/>
    <w:rsid w:val="00A85255"/>
    <w:rsid w:val="00A8536A"/>
    <w:rsid w:val="00A85C31"/>
    <w:rsid w:val="00A85CC3"/>
    <w:rsid w:val="00A85E5E"/>
    <w:rsid w:val="00A9255D"/>
    <w:rsid w:val="00A93C14"/>
    <w:rsid w:val="00A95479"/>
    <w:rsid w:val="00A96989"/>
    <w:rsid w:val="00AA61F7"/>
    <w:rsid w:val="00AA77BA"/>
    <w:rsid w:val="00AB0BDC"/>
    <w:rsid w:val="00AB7125"/>
    <w:rsid w:val="00AC6B4E"/>
    <w:rsid w:val="00AD3524"/>
    <w:rsid w:val="00AD4835"/>
    <w:rsid w:val="00AD4B33"/>
    <w:rsid w:val="00AE5082"/>
    <w:rsid w:val="00AE60EF"/>
    <w:rsid w:val="00AE77B1"/>
    <w:rsid w:val="00AF1F6D"/>
    <w:rsid w:val="00AF2500"/>
    <w:rsid w:val="00AF5E14"/>
    <w:rsid w:val="00B03062"/>
    <w:rsid w:val="00B04744"/>
    <w:rsid w:val="00B10D1F"/>
    <w:rsid w:val="00B12B7A"/>
    <w:rsid w:val="00B157A7"/>
    <w:rsid w:val="00B16C08"/>
    <w:rsid w:val="00B20C14"/>
    <w:rsid w:val="00B2303E"/>
    <w:rsid w:val="00B30924"/>
    <w:rsid w:val="00B4169B"/>
    <w:rsid w:val="00B50376"/>
    <w:rsid w:val="00B53DBC"/>
    <w:rsid w:val="00B542B1"/>
    <w:rsid w:val="00B601BC"/>
    <w:rsid w:val="00B63D08"/>
    <w:rsid w:val="00B65D52"/>
    <w:rsid w:val="00B71CCF"/>
    <w:rsid w:val="00B8033D"/>
    <w:rsid w:val="00B846E4"/>
    <w:rsid w:val="00B84812"/>
    <w:rsid w:val="00B9147E"/>
    <w:rsid w:val="00B93BC5"/>
    <w:rsid w:val="00B97B33"/>
    <w:rsid w:val="00B97BFA"/>
    <w:rsid w:val="00BA1BE4"/>
    <w:rsid w:val="00BA2402"/>
    <w:rsid w:val="00BA2451"/>
    <w:rsid w:val="00BA7C18"/>
    <w:rsid w:val="00BB0987"/>
    <w:rsid w:val="00BC262F"/>
    <w:rsid w:val="00BD0E8E"/>
    <w:rsid w:val="00BD4814"/>
    <w:rsid w:val="00BD5857"/>
    <w:rsid w:val="00BE18D6"/>
    <w:rsid w:val="00BF1544"/>
    <w:rsid w:val="00C00B44"/>
    <w:rsid w:val="00C03AC1"/>
    <w:rsid w:val="00C05AE7"/>
    <w:rsid w:val="00C11F32"/>
    <w:rsid w:val="00C23579"/>
    <w:rsid w:val="00C27EEA"/>
    <w:rsid w:val="00C37A76"/>
    <w:rsid w:val="00C41CA2"/>
    <w:rsid w:val="00C4397B"/>
    <w:rsid w:val="00C512F9"/>
    <w:rsid w:val="00C56286"/>
    <w:rsid w:val="00C604E7"/>
    <w:rsid w:val="00C61B85"/>
    <w:rsid w:val="00C641D4"/>
    <w:rsid w:val="00C668FC"/>
    <w:rsid w:val="00C66BFB"/>
    <w:rsid w:val="00C7084A"/>
    <w:rsid w:val="00C71F57"/>
    <w:rsid w:val="00C81328"/>
    <w:rsid w:val="00C84BD7"/>
    <w:rsid w:val="00C86CC9"/>
    <w:rsid w:val="00C9466E"/>
    <w:rsid w:val="00C9582B"/>
    <w:rsid w:val="00C96F86"/>
    <w:rsid w:val="00C97AF8"/>
    <w:rsid w:val="00CA17E4"/>
    <w:rsid w:val="00CA7DE0"/>
    <w:rsid w:val="00CB5B28"/>
    <w:rsid w:val="00CC039C"/>
    <w:rsid w:val="00CC36BB"/>
    <w:rsid w:val="00CC4836"/>
    <w:rsid w:val="00CC695D"/>
    <w:rsid w:val="00CD0168"/>
    <w:rsid w:val="00CD0E6D"/>
    <w:rsid w:val="00CD18AD"/>
    <w:rsid w:val="00CD1A6A"/>
    <w:rsid w:val="00CD3E27"/>
    <w:rsid w:val="00CD73B0"/>
    <w:rsid w:val="00CE3D90"/>
    <w:rsid w:val="00CE755F"/>
    <w:rsid w:val="00CF70A7"/>
    <w:rsid w:val="00CF7492"/>
    <w:rsid w:val="00CF77B0"/>
    <w:rsid w:val="00D01476"/>
    <w:rsid w:val="00D03447"/>
    <w:rsid w:val="00D04EFE"/>
    <w:rsid w:val="00D04F3D"/>
    <w:rsid w:val="00D07068"/>
    <w:rsid w:val="00D13FE4"/>
    <w:rsid w:val="00D234BD"/>
    <w:rsid w:val="00D245CE"/>
    <w:rsid w:val="00D32545"/>
    <w:rsid w:val="00D370BD"/>
    <w:rsid w:val="00D415F4"/>
    <w:rsid w:val="00D45071"/>
    <w:rsid w:val="00D4740B"/>
    <w:rsid w:val="00D534CE"/>
    <w:rsid w:val="00D57284"/>
    <w:rsid w:val="00D6603B"/>
    <w:rsid w:val="00D6711A"/>
    <w:rsid w:val="00D70CBE"/>
    <w:rsid w:val="00D71155"/>
    <w:rsid w:val="00D744E8"/>
    <w:rsid w:val="00D77B39"/>
    <w:rsid w:val="00D94E29"/>
    <w:rsid w:val="00D9501D"/>
    <w:rsid w:val="00DA0AAC"/>
    <w:rsid w:val="00DA2EDE"/>
    <w:rsid w:val="00DA367F"/>
    <w:rsid w:val="00DA517E"/>
    <w:rsid w:val="00DB1394"/>
    <w:rsid w:val="00DB2CD9"/>
    <w:rsid w:val="00DB591A"/>
    <w:rsid w:val="00DB5F34"/>
    <w:rsid w:val="00DB7A0F"/>
    <w:rsid w:val="00DB7A34"/>
    <w:rsid w:val="00DC3122"/>
    <w:rsid w:val="00DD003B"/>
    <w:rsid w:val="00DD358C"/>
    <w:rsid w:val="00DE0646"/>
    <w:rsid w:val="00DE40F4"/>
    <w:rsid w:val="00DF3D5A"/>
    <w:rsid w:val="00DF48AE"/>
    <w:rsid w:val="00E01203"/>
    <w:rsid w:val="00E01540"/>
    <w:rsid w:val="00E01958"/>
    <w:rsid w:val="00E054A5"/>
    <w:rsid w:val="00E05CC3"/>
    <w:rsid w:val="00E1360E"/>
    <w:rsid w:val="00E16882"/>
    <w:rsid w:val="00E17199"/>
    <w:rsid w:val="00E21461"/>
    <w:rsid w:val="00E2673A"/>
    <w:rsid w:val="00E30DF9"/>
    <w:rsid w:val="00E418D0"/>
    <w:rsid w:val="00E451D3"/>
    <w:rsid w:val="00E6133D"/>
    <w:rsid w:val="00E621AE"/>
    <w:rsid w:val="00E62FBD"/>
    <w:rsid w:val="00E6699C"/>
    <w:rsid w:val="00E6790E"/>
    <w:rsid w:val="00E737CB"/>
    <w:rsid w:val="00E73AD9"/>
    <w:rsid w:val="00E75C98"/>
    <w:rsid w:val="00E76310"/>
    <w:rsid w:val="00E80553"/>
    <w:rsid w:val="00E86B69"/>
    <w:rsid w:val="00E87DE7"/>
    <w:rsid w:val="00E90E92"/>
    <w:rsid w:val="00E9210B"/>
    <w:rsid w:val="00E97108"/>
    <w:rsid w:val="00E97BBF"/>
    <w:rsid w:val="00EA4D48"/>
    <w:rsid w:val="00EA60A8"/>
    <w:rsid w:val="00EB0C4F"/>
    <w:rsid w:val="00EB143A"/>
    <w:rsid w:val="00EB48F5"/>
    <w:rsid w:val="00EC1AC4"/>
    <w:rsid w:val="00EC5F78"/>
    <w:rsid w:val="00EC6859"/>
    <w:rsid w:val="00ED02EA"/>
    <w:rsid w:val="00ED2122"/>
    <w:rsid w:val="00ED3CFE"/>
    <w:rsid w:val="00ED6487"/>
    <w:rsid w:val="00ED6C68"/>
    <w:rsid w:val="00ED710F"/>
    <w:rsid w:val="00ED7842"/>
    <w:rsid w:val="00EE1F7C"/>
    <w:rsid w:val="00EE220D"/>
    <w:rsid w:val="00EE2564"/>
    <w:rsid w:val="00EF45A3"/>
    <w:rsid w:val="00EF6003"/>
    <w:rsid w:val="00F01F89"/>
    <w:rsid w:val="00F024FD"/>
    <w:rsid w:val="00F02D90"/>
    <w:rsid w:val="00F11823"/>
    <w:rsid w:val="00F12210"/>
    <w:rsid w:val="00F15AA7"/>
    <w:rsid w:val="00F22241"/>
    <w:rsid w:val="00F34C7F"/>
    <w:rsid w:val="00F473FE"/>
    <w:rsid w:val="00F52C79"/>
    <w:rsid w:val="00F60D76"/>
    <w:rsid w:val="00F63C05"/>
    <w:rsid w:val="00F64307"/>
    <w:rsid w:val="00F649EE"/>
    <w:rsid w:val="00F67124"/>
    <w:rsid w:val="00F72015"/>
    <w:rsid w:val="00F720F9"/>
    <w:rsid w:val="00F76F16"/>
    <w:rsid w:val="00F823C3"/>
    <w:rsid w:val="00F838CC"/>
    <w:rsid w:val="00F839A7"/>
    <w:rsid w:val="00F90F55"/>
    <w:rsid w:val="00F94356"/>
    <w:rsid w:val="00FA1C0B"/>
    <w:rsid w:val="00FA5819"/>
    <w:rsid w:val="00FB35C3"/>
    <w:rsid w:val="00FB3EB9"/>
    <w:rsid w:val="00FC296E"/>
    <w:rsid w:val="00FC5ABE"/>
    <w:rsid w:val="00FC60F9"/>
    <w:rsid w:val="00FC655B"/>
    <w:rsid w:val="00FD368C"/>
    <w:rsid w:val="00FE06F4"/>
    <w:rsid w:val="00FE0850"/>
    <w:rsid w:val="00FE2C63"/>
    <w:rsid w:val="00FE3632"/>
    <w:rsid w:val="00FE38C2"/>
    <w:rsid w:val="00FE621B"/>
    <w:rsid w:val="00FE7BE0"/>
    <w:rsid w:val="00FE7FF6"/>
    <w:rsid w:val="00FF00A6"/>
    <w:rsid w:val="00FF04E2"/>
    <w:rsid w:val="00FF3569"/>
    <w:rsid w:val="00FF4725"/>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after="0"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spacing w:after="0"/>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spacing w:after="0"/>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 w:id="997464964">
      <w:bodyDiv w:val="1"/>
      <w:marLeft w:val="0"/>
      <w:marRight w:val="0"/>
      <w:marTop w:val="0"/>
      <w:marBottom w:val="0"/>
      <w:divBdr>
        <w:top w:val="none" w:sz="0" w:space="0" w:color="auto"/>
        <w:left w:val="none" w:sz="0" w:space="0" w:color="auto"/>
        <w:bottom w:val="none" w:sz="0" w:space="0" w:color="auto"/>
        <w:right w:val="none" w:sz="0" w:space="0" w:color="auto"/>
      </w:divBdr>
      <w:divsChild>
        <w:div w:id="35931673">
          <w:marLeft w:val="0"/>
          <w:marRight w:val="0"/>
          <w:marTop w:val="0"/>
          <w:marBottom w:val="0"/>
          <w:divBdr>
            <w:top w:val="none" w:sz="0" w:space="0" w:color="auto"/>
            <w:left w:val="none" w:sz="0" w:space="0" w:color="auto"/>
            <w:bottom w:val="none" w:sz="0" w:space="0" w:color="auto"/>
            <w:right w:val="none" w:sz="0" w:space="0" w:color="auto"/>
          </w:divBdr>
          <w:divsChild>
            <w:div w:id="402332961">
              <w:marLeft w:val="0"/>
              <w:marRight w:val="0"/>
              <w:marTop w:val="0"/>
              <w:marBottom w:val="0"/>
              <w:divBdr>
                <w:top w:val="none" w:sz="0" w:space="0" w:color="auto"/>
                <w:left w:val="none" w:sz="0" w:space="0" w:color="auto"/>
                <w:bottom w:val="none" w:sz="0" w:space="0" w:color="auto"/>
                <w:right w:val="none" w:sz="0" w:space="0" w:color="auto"/>
              </w:divBdr>
              <w:divsChild>
                <w:div w:id="1368067067">
                  <w:marLeft w:val="0"/>
                  <w:marRight w:val="0"/>
                  <w:marTop w:val="0"/>
                  <w:marBottom w:val="0"/>
                  <w:divBdr>
                    <w:top w:val="none" w:sz="0" w:space="0" w:color="auto"/>
                    <w:left w:val="none" w:sz="0" w:space="0" w:color="auto"/>
                    <w:bottom w:val="none" w:sz="0" w:space="0" w:color="auto"/>
                    <w:right w:val="none" w:sz="0" w:space="0" w:color="auto"/>
                  </w:divBdr>
                  <w:divsChild>
                    <w:div w:id="18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3900</TotalTime>
  <Pages>20</Pages>
  <Words>42627</Words>
  <Characters>242974</Characters>
  <Application>Microsoft Office Word</Application>
  <DocSecurity>0</DocSecurity>
  <Lines>2024</Lines>
  <Paragraphs>570</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285031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521</cp:revision>
  <cp:lastPrinted>2022-12-19T18:09:00Z</cp:lastPrinted>
  <dcterms:created xsi:type="dcterms:W3CDTF">2022-12-19T18:09:00Z</dcterms:created>
  <dcterms:modified xsi:type="dcterms:W3CDTF">2023-04-27T21:20:00Z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id="6rnnL9s2"/&gt;&lt;style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