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27B5FF"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lastRenderedPageBreak/>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72CA79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Fonts w:ascii="Times New Roman" w:eastAsia="Times New Roman" w:hAnsi="Times New Roman" w:cs="Times New Roman"/>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D97389C"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170E3A">
        <w:rPr>
          <w:rFonts w:ascii="Arial" w:hAnsi="Arial" w:cs="Arial"/>
          <w:color w:val="000000"/>
          <w:sz w:val="20"/>
          <w:szCs w:val="20"/>
        </w:rPr>
        <w:t>simulation based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lastRenderedPageBreak/>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compated to a population level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77777777"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lastRenderedPageBreak/>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6A412613"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interrogation with empirical data such as carriage detections rates of resistance</w:t>
      </w:r>
      <w:r w:rsidR="0074163E">
        <w:rPr>
          <w:rFonts w:ascii="Arial" w:hAnsi="Arial" w:cs="Arial"/>
          <w:sz w:val="20"/>
          <w:szCs w:val="20"/>
        </w:rPr>
        <w:t>, or ICU admission 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7E4B75">
        <w:rPr>
          <w:rFonts w:ascii="Arial" w:hAnsi="Arial" w:cs="Arial"/>
          <w:sz w:val="20"/>
          <w:szCs w:val="20"/>
        </w:rPr>
        <w:instrText xml:space="preserve"> ADDIN ZOTERO_ITEM CSL_CITATION {"citationID":"a26e1sinie7","properties":{"formattedCitation":"\\super 7,18,21,25\\nosupersub{}","plainCitation":"7,18,21,25","noteIndex":0},"citationItems":[{"id":135,"uris":["http://zotero.org/users/9551388/items/D85TW3FM"],"itemData":{"id":135,"type":"article-journal","abstract":"Methicillin-resistant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7E4B75" w:rsidRPr="007E4B75">
        <w:rPr>
          <w:rFonts w:ascii="Arial" w:hAnsi="Arial" w:cs="Arial"/>
          <w:sz w:val="20"/>
          <w:vertAlign w:val="superscript"/>
          <w:lang w:val="en-GB"/>
        </w:rPr>
        <w:t>7,18,21,25</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{"citationID":"a23jdushi7v","properties":{"formattedCitation":"\\super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26</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{"citationID":"arc7q81jl6","properties":{"formattedCitation":"\\super 27\\nosupersub{}","plainCitation":"27","noteIndex":0},"citationItems":[{"id":614,"uris":["http://zotero.org/users/9551388/items/BSYW8TSY"],"itemData":{"id":614,"type":"article-journal","container-title":"American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27</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{"citationID":"a2l0j20tksp","properties":{"formattedCitation":"\\super 18,21,25,27\\nosupersub{}","plainCitation":"18,21,25,27","noteIndex":0},"citationItems":[{"id":135,"uris":["http://zotero.org/users/9551388/items/D85TW3FM"],"itemData":{"id":135,"type":"article-journal","abstract":"Methicillin-resistant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vertAlign w:val="superscript"/>
          <w:lang w:val="en-GB"/>
        </w:rPr>
        <w:t>18,21,25,27</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{"citationID":"a1amd6pb40r","properties":{"formattedCitation":"\\uldash{\\super 1,2\\nosupersub{}}","plainCitation":"1,2","noteIndex":0},"citationItems":[{"id":413,"uris":["http://zotero.org/users/9551388/items/X27EMPDM"],"itemData":{"id":413,"type":"article-journal","container-title":"PLOS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u w:val="dash"/>
          <w:vertAlign w:val="superscript"/>
          <w:lang w:val="en-GB"/>
        </w:rPr>
        <w:t>1,2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557045">
        <w:rPr>
          <w:rFonts w:ascii="Arial" w:hAnsi="Arial" w:cs="Arial"/>
          <w:sz w:val="20"/>
          <w:szCs w:val="20"/>
        </w:rPr>
        <w:instrText xml:space="preserve"> ADDIN ZOTERO_ITEM CSL_CITATION {"citationID":"a242jo5nski","properties":{"formattedCitation":"\\super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557045" w:rsidRPr="00557045">
        <w:rPr>
          <w:rFonts w:ascii="Arial" w:hAnsi="Arial" w:cs="Arial"/>
          <w:sz w:val="20"/>
          <w:vertAlign w:val="superscript"/>
          <w:lang w:val="en-GB"/>
        </w:rPr>
        <w:t>26</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are usually</w:t>
      </w:r>
      <w:r w:rsidR="004D0B26">
        <w:rPr>
          <w:rFonts w:ascii="Arial" w:hAnsi="Arial" w:cs="Arial"/>
          <w:sz w:val="20"/>
          <w:szCs w:val="20"/>
        </w:rPr>
        <w:t xml:space="preserve"> 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r w:rsidR="00F11823">
        <w:rPr>
          <w:rFonts w:ascii="Arial" w:hAnsi="Arial" w:cs="Arial"/>
          <w:sz w:val="20"/>
          <w:szCs w:val="20"/>
        </w:rPr>
        <w:t>.</w:t>
      </w:r>
      <w:r w:rsidR="00A56BC0">
        <w:rPr>
          <w:rFonts w:ascii="Arial" w:hAnsi="Arial" w:cs="Arial"/>
          <w:sz w:val="20"/>
          <w:szCs w:val="20"/>
        </w:rPr>
        <w:t xml:space="preserve"> </w:t>
      </w:r>
      <w:r w:rsidR="00CF70A7">
        <w:rPr>
          <w:rFonts w:ascii="Arial" w:hAnsi="Arial" w:cs="Arial"/>
          <w:sz w:val="20"/>
          <w:szCs w:val="20"/>
        </w:rPr>
        <w:t>F</w:t>
      </w:r>
      <w:r w:rsidR="00A56BC0">
        <w:rPr>
          <w:rFonts w:ascii="Arial" w:hAnsi="Arial" w:cs="Arial"/>
          <w:sz w:val="20"/>
          <w:szCs w:val="20"/>
        </w:rPr>
        <w:t>or example</w:t>
      </w:r>
      <w:r w:rsidR="00557045">
        <w:rPr>
          <w:rFonts w:ascii="Arial" w:hAnsi="Arial" w:cs="Arial"/>
          <w:sz w:val="20"/>
          <w:szCs w:val="20"/>
        </w:rPr>
        <w:t>,</w:t>
      </w:r>
      <w:r w:rsidR="00A56BC0">
        <w:rPr>
          <w:rFonts w:ascii="Arial" w:hAnsi="Arial" w:cs="Arial"/>
          <w:sz w:val="20"/>
          <w:szCs w:val="20"/>
        </w:rPr>
        <w:t xml:space="preserve"> </w:t>
      </w:r>
      <w:r w:rsidR="0088396D">
        <w:rPr>
          <w:rFonts w:ascii="Arial" w:hAnsi="Arial" w:cs="Arial"/>
          <w:sz w:val="20"/>
          <w:szCs w:val="20"/>
        </w:rPr>
        <w:fldChar w:fldCharType="begin"/>
      </w:r>
      <w:r w:rsidR="00590AF7">
        <w:rPr>
          <w:rFonts w:ascii="Arial" w:hAnsi="Arial" w:cs="Arial"/>
          <w:sz w:val="20"/>
          <w:szCs w:val="20"/>
        </w:rPr>
        <w:instrText xml:space="preserve"> ADDIN ZOTERO_ITEM CSL_CITATION {"citationID":"alaq99bnap","properties":{"formattedCitation":"\\super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590AF7" w:rsidRPr="00590AF7">
        <w:rPr>
          <w:rFonts w:ascii="Arial" w:hAnsi="Arial" w:cs="Arial"/>
          <w:sz w:val="20"/>
          <w:vertAlign w:val="superscript"/>
          <w:lang w:val="en-GB"/>
        </w:rPr>
        <w:t>4</w:t>
      </w:r>
      <w:r w:rsidR="0088396D">
        <w:rPr>
          <w:rFonts w:ascii="Arial" w:hAnsi="Arial" w:cs="Arial"/>
          <w:sz w:val="20"/>
          <w:szCs w:val="20"/>
        </w:rPr>
        <w:fldChar w:fldCharType="end"/>
      </w:r>
      <w:r w:rsidR="00A56BC0">
        <w:rPr>
          <w:rFonts w:ascii="Arial" w:hAnsi="Arial" w:cs="Arial"/>
          <w:sz w:val="20"/>
          <w:szCs w:val="20"/>
        </w:rPr>
        <w:t xml:space="preserve"> </w:t>
      </w:r>
      <w:r w:rsidR="000F6CCC">
        <w:rPr>
          <w:rFonts w:ascii="Arial" w:hAnsi="Arial" w:cs="Arial"/>
          <w:sz w:val="20"/>
          <w:szCs w:val="20"/>
        </w:rPr>
        <w:t>infers</w:t>
      </w:r>
      <w:r w:rsidR="00A56BC0">
        <w:rPr>
          <w:rFonts w:ascii="Arial" w:hAnsi="Arial" w:cs="Arial"/>
          <w:sz w:val="20"/>
          <w:szCs w:val="20"/>
        </w:rPr>
        <w:t xml:space="preserve">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r w:rsidR="009574B8">
        <w:rPr>
          <w:rFonts w:ascii="Arial" w:hAnsi="Arial" w:cs="Arial"/>
          <w:i/>
          <w:iCs/>
          <w:sz w:val="20"/>
          <w:szCs w:val="20"/>
        </w:rPr>
        <w:t>a</w:t>
      </w:r>
      <w:r w:rsidR="00994429">
        <w:rPr>
          <w:rFonts w:ascii="Arial" w:hAnsi="Arial" w:cs="Arial"/>
          <w:i/>
          <w:iCs/>
          <w:sz w:val="20"/>
          <w:szCs w:val="20"/>
        </w:rPr>
        <w:t xml:space="preserve"> </w:t>
      </w:r>
      <w:r w:rsidR="00994429">
        <w:rPr>
          <w:rFonts w:ascii="Arial" w:hAnsi="Arial" w:cs="Arial"/>
          <w:sz w:val="20"/>
          <w:szCs w:val="20"/>
        </w:rPr>
        <w:t>using ICU admissions</w:t>
      </w:r>
      <w:r w:rsidR="00A57C78">
        <w:rPr>
          <w:rFonts w:ascii="Arial" w:hAnsi="Arial" w:cs="Arial"/>
          <w:sz w:val="20"/>
          <w:szCs w:val="20"/>
        </w:rPr>
        <w:t>.</w:t>
      </w:r>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r w:rsidR="00FF4725">
        <w:rPr>
          <w:rFonts w:ascii="Arial" w:hAnsi="Arial" w:cs="Arial"/>
          <w:sz w:val="20"/>
          <w:szCs w:val="20"/>
        </w:rPr>
        <w:t>nosocomial transmission</w:t>
      </w:r>
      <w:r w:rsidR="00BA2402">
        <w:rPr>
          <w:rFonts w:ascii="Arial" w:hAnsi="Arial" w:cs="Arial"/>
          <w:sz w:val="20"/>
          <w:szCs w:val="20"/>
        </w:rPr>
        <w:t xml:space="preserve"> and act in the same time-scales</w:t>
      </w:r>
      <w:r w:rsidR="00C96F86">
        <w:rPr>
          <w:rFonts w:ascii="Arial" w:hAnsi="Arial" w:cs="Arial"/>
          <w:sz w:val="20"/>
          <w:szCs w:val="20"/>
        </w:rPr>
        <w:t xml:space="preserve"> there might be multiple solutions</w:t>
      </w:r>
      <w:r w:rsidR="004D0B26">
        <w:rPr>
          <w:rFonts w:ascii="Arial" w:hAnsi="Arial" w:cs="Arial"/>
          <w:sz w:val="20"/>
          <w:szCs w:val="20"/>
        </w:rPr>
        <w:t xml:space="preserve"> </w:t>
      </w:r>
      <w:r w:rsidR="00A96989">
        <w:rPr>
          <w:rFonts w:ascii="Arial" w:hAnsi="Arial" w:cs="Arial"/>
          <w:sz w:val="20"/>
          <w:szCs w:val="20"/>
        </w:rPr>
        <w:t xml:space="preserve">that cannot be stressed out without observing additional variables of the </w:t>
      </w:r>
      <w:r w:rsidR="009B54CA">
        <w:rPr>
          <w:rFonts w:ascii="Arial" w:hAnsi="Arial" w:cs="Arial"/>
          <w:sz w:val="20"/>
          <w:szCs w:val="20"/>
        </w:rPr>
        <w:t>process</w:t>
      </w:r>
      <w:r w:rsidR="0006342B">
        <w:rPr>
          <w:rFonts w:ascii="Arial" w:hAnsi="Arial" w:cs="Arial"/>
          <w:sz w:val="20"/>
          <w:szCs w:val="20"/>
        </w:rPr>
        <w:t xml:space="preserve">. </w:t>
      </w:r>
      <w:r w:rsidR="00E80553">
        <w:rPr>
          <w:rFonts w:ascii="Arial" w:hAnsi="Arial" w:cs="Arial"/>
          <w:sz w:val="20"/>
          <w:szCs w:val="20"/>
        </w:rPr>
        <w:t>However</w:t>
      </w:r>
      <w:r w:rsidR="0006342B">
        <w:rPr>
          <w:rFonts w:ascii="Arial" w:hAnsi="Arial" w:cs="Arial"/>
          <w:sz w:val="20"/>
          <w:szCs w:val="20"/>
        </w:rPr>
        <w:t xml:space="preserve">, the study </w:t>
      </w:r>
      <w:r w:rsidR="00586A73">
        <w:rPr>
          <w:rFonts w:ascii="Arial" w:hAnsi="Arial" w:cs="Arial"/>
          <w:sz w:val="20"/>
          <w:szCs w:val="20"/>
        </w:rPr>
        <w:t>used</w:t>
      </w:r>
      <w:r w:rsidR="0035786C">
        <w:rPr>
          <w:rFonts w:ascii="Arial" w:hAnsi="Arial" w:cs="Arial"/>
          <w:sz w:val="20"/>
          <w:szCs w:val="20"/>
        </w:rPr>
        <w:t xml:space="preserve"> nosocomial infection</w:t>
      </w:r>
      <w:r w:rsidR="00586A73">
        <w:rPr>
          <w:rFonts w:ascii="Arial" w:hAnsi="Arial" w:cs="Arial"/>
          <w:sz w:val="20"/>
          <w:szCs w:val="20"/>
        </w:rPr>
        <w:t xml:space="preserve"> data from two ICUs</w:t>
      </w:r>
      <w:r w:rsidR="00E80553">
        <w:rPr>
          <w:rFonts w:ascii="Arial" w:hAnsi="Arial" w:cs="Arial"/>
          <w:sz w:val="20"/>
          <w:szCs w:val="20"/>
        </w:rPr>
        <w:t xml:space="preserve"> of 9 and 6 years</w:t>
      </w:r>
      <w:r w:rsidR="00586A73">
        <w:rPr>
          <w:rFonts w:ascii="Arial" w:hAnsi="Arial" w:cs="Arial"/>
          <w:sz w:val="20"/>
          <w:szCs w:val="20"/>
        </w:rPr>
        <w:t xml:space="preserve"> respectively</w:t>
      </w:r>
      <w:r w:rsidR="00E80553">
        <w:rPr>
          <w:rFonts w:ascii="Arial" w:hAnsi="Arial" w:cs="Arial"/>
          <w:sz w:val="20"/>
          <w:szCs w:val="20"/>
        </w:rPr>
        <w:t xml:space="preserve"> and possibly the length of the time series and interventions</w:t>
      </w:r>
      <w:r w:rsidR="00657C18">
        <w:rPr>
          <w:rFonts w:ascii="Arial" w:hAnsi="Arial" w:cs="Arial"/>
          <w:sz w:val="20"/>
          <w:szCs w:val="20"/>
        </w:rPr>
        <w:t xml:space="preserve"> </w:t>
      </w:r>
      <w:r w:rsidR="00E80553">
        <w:rPr>
          <w:rFonts w:ascii="Arial" w:hAnsi="Arial" w:cs="Arial"/>
          <w:sz w:val="20"/>
          <w:szCs w:val="20"/>
        </w:rPr>
        <w:t xml:space="preserve">in the hospital </w:t>
      </w:r>
      <w:r w:rsidR="00EA60A8">
        <w:rPr>
          <w:rFonts w:ascii="Arial" w:hAnsi="Arial" w:cs="Arial"/>
          <w:sz w:val="20"/>
          <w:szCs w:val="20"/>
        </w:rPr>
        <w:t>enriched</w:t>
      </w:r>
      <w:r w:rsidR="00657C18">
        <w:rPr>
          <w:rFonts w:ascii="Arial" w:hAnsi="Arial" w:cs="Arial"/>
          <w:sz w:val="20"/>
          <w:szCs w:val="20"/>
        </w:rPr>
        <w:t xml:space="preserve"> dynamics and </w:t>
      </w:r>
      <w:r w:rsidR="008C44CE">
        <w:rPr>
          <w:rFonts w:ascii="Arial" w:hAnsi="Arial" w:cs="Arial"/>
          <w:sz w:val="20"/>
          <w:szCs w:val="20"/>
        </w:rPr>
        <w:t>improved</w:t>
      </w:r>
      <w:r w:rsidR="00E80553">
        <w:rPr>
          <w:rFonts w:ascii="Arial" w:hAnsi="Arial" w:cs="Arial"/>
          <w:sz w:val="20"/>
          <w:szCs w:val="20"/>
        </w:rPr>
        <w:t xml:space="preserve"> the parameter estimation</w:t>
      </w:r>
      <w:r w:rsidR="00A96989">
        <w:rPr>
          <w:rFonts w:ascii="Arial" w:hAnsi="Arial" w:cs="Arial"/>
          <w:sz w:val="20"/>
          <w:szCs w:val="20"/>
        </w:rPr>
        <w:t>.</w:t>
      </w:r>
      <w:r w:rsidR="00C96F86">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3"/>
      <w:r w:rsidR="00621786">
        <w:rPr>
          <w:rFonts w:ascii="Arial" w:hAnsi="Arial" w:cs="Arial"/>
          <w:sz w:val="20"/>
          <w:szCs w:val="20"/>
        </w:rPr>
        <w:t>models</w:t>
      </w:r>
      <w:commentRangeEnd w:id="3"/>
      <w:r w:rsidR="00707155">
        <w:rPr>
          <w:rStyle w:val="CommentReference"/>
          <w:rFonts w:ascii="Times New Roman" w:eastAsia="Times New Roman" w:hAnsi="Times New Roman" w:cs="Times New Roman"/>
        </w:rPr>
        <w:commentReference w:id="3"/>
      </w:r>
      <w:r w:rsidR="00707155">
        <w:rPr>
          <w:rFonts w:ascii="Arial" w:hAnsi="Arial" w:cs="Arial"/>
          <w:sz w:val="20"/>
          <w:szCs w:val="20"/>
        </w:rPr>
        <w:t>.</w:t>
      </w:r>
    </w:p>
    <w:p w14:paraId="7A1A6036" w14:textId="1748E6EC"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lastRenderedPageBreak/>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mostly</w:t>
      </w:r>
      <w:r w:rsidR="004608A9">
        <w:rPr>
          <w:rFonts w:ascii="Arial" w:hAnsi="Arial" w:cs="Arial"/>
          <w:sz w:val="20"/>
          <w:szCs w:val="20"/>
        </w:rPr>
        <w:t xml:space="preserve">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{"citationID":"aSlHK9vT","properties":{"formattedCitation":"\\super 17,28\\nosupersub{}","plainCitation":"17,28","noteIndex":0},"citationItems":[{"id":130,"uris":["http://zotero.org/users/9551388/items/IUTFA7I6"],"itemData":{"id":130,"type":"article-journal","abstract":"Hospital-acquired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17,28</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{"citationID":"igZ21RXh","properties":{"formattedCitation":"\\super 29,30\\nosupersub{}","plainCitation":"29,30","noteIndex":0},"citationItems":[{"id":144,"uris":["http://zotero.org/users/9551388/items/4Z8P8X96"],"itemData":{"id":144,"type":"article-journal","abstract":"The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29,30</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00272265">
        <w:rPr>
          <w:rFonts w:ascii="Arial" w:hAnsi="Arial" w:cs="Arial"/>
          <w:sz w:val="20"/>
          <w:szCs w:val="20"/>
        </w:rPr>
        <w:t>.</w:t>
      </w:r>
      <w:r w:rsidR="005F23B0">
        <w:rPr>
          <w:rFonts w:ascii="Arial" w:hAnsi="Arial" w:cs="Arial"/>
          <w:sz w:val="20"/>
          <w:szCs w:val="20"/>
        </w:rPr>
        <w:t xml:space="preserve"> </w:t>
      </w:r>
    </w:p>
    <w:p w14:paraId="6499A67E" w14:textId="032A4C5C"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eight prevalent </w:t>
      </w:r>
      <w:r w:rsidR="006649E3">
        <w:rPr>
          <w:rFonts w:ascii="Arial" w:hAnsi="Arial" w:cs="Arial"/>
          <w:sz w:val="20"/>
          <w:szCs w:val="20"/>
        </w:rPr>
        <w:t xml:space="preserve">pathogenic </w:t>
      </w:r>
      <w:r w:rsidR="00A3144C">
        <w:rPr>
          <w:rFonts w:ascii="Arial" w:hAnsi="Arial" w:cs="Arial"/>
          <w:sz w:val="20"/>
          <w:szCs w:val="20"/>
        </w:rPr>
        <w:t xml:space="preserve">microbial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p>
    <w:p w14:paraId="1F551716" w14:textId="77777777" w:rsidR="00407F9C" w:rsidRDefault="00154996" w:rsidP="00375E79">
      <w:pPr>
        <w:spacing w:line="360" w:lineRule="auto"/>
        <w:jc w:val="both"/>
        <w:rPr>
          <w:ins w:id="4" w:author="Cascante Vega, Jaime E." w:date="2023-04-26T13:52:00Z"/>
          <w:rFonts w:ascii="Arial" w:hAnsi="Arial" w:cs="Arial"/>
          <w:sz w:val="20"/>
          <w:szCs w:val="20"/>
        </w:rPr>
      </w:pPr>
      <w:r>
        <w:rPr>
          <w:rFonts w:ascii="Arial" w:hAnsi="Arial" w:cs="Arial"/>
          <w:sz w:val="20"/>
          <w:szCs w:val="20"/>
        </w:rPr>
        <w:t>W</w:t>
      </w:r>
      <w:r w:rsidR="00772B93">
        <w:rPr>
          <w:rFonts w:ascii="Arial" w:hAnsi="Arial" w:cs="Arial"/>
          <w:sz w:val="20"/>
          <w:szCs w:val="20"/>
        </w:rPr>
        <w:t xml:space="preserve">e searched the literature to set the importation rate of each </w:t>
      </w:r>
      <w:r w:rsidR="007D167C">
        <w:rPr>
          <w:rFonts w:ascii="Arial" w:hAnsi="Arial" w:cs="Arial"/>
          <w:sz w:val="20"/>
          <w:szCs w:val="20"/>
        </w:rPr>
        <w:t>microorganism</w:t>
      </w:r>
      <w:r w:rsidR="00772B93">
        <w:rPr>
          <w:rFonts w:ascii="Arial" w:hAnsi="Arial" w:cs="Arial"/>
          <w:sz w:val="20"/>
          <w:szCs w:val="20"/>
        </w:rPr>
        <w:t xml:space="preserve"> as a proxy of the community prevalence. Our search terms included 'prevalence', 'colonization'</w:t>
      </w:r>
      <w:r w:rsidR="0033470D">
        <w:rPr>
          <w:rFonts w:ascii="Arial" w:hAnsi="Arial" w:cs="Arial"/>
          <w:sz w:val="20"/>
          <w:szCs w:val="20"/>
        </w:rPr>
        <w:t>, 'carriage rate'</w:t>
      </w:r>
      <w:r w:rsidR="00772B93">
        <w:rPr>
          <w:rFonts w:ascii="Arial" w:hAnsi="Arial" w:cs="Arial"/>
          <w:sz w:val="20"/>
          <w:szCs w:val="20"/>
        </w:rPr>
        <w:t xml:space="preserve">, </w:t>
      </w:r>
      <w:r w:rsidR="00E621AE">
        <w:rPr>
          <w:rFonts w:ascii="Arial" w:hAnsi="Arial" w:cs="Arial"/>
          <w:sz w:val="20"/>
          <w:szCs w:val="20"/>
        </w:rPr>
        <w:t>and</w:t>
      </w:r>
      <w:r w:rsidR="00772B93">
        <w:rPr>
          <w:rFonts w:ascii="Arial" w:hAnsi="Arial" w:cs="Arial"/>
          <w:sz w:val="20"/>
          <w:szCs w:val="20"/>
        </w:rPr>
        <w:t xml:space="preserve"> </w:t>
      </w:r>
      <w:r w:rsidR="007D167C">
        <w:rPr>
          <w:rFonts w:ascii="Arial" w:hAnsi="Arial" w:cs="Arial"/>
          <w:sz w:val="20"/>
          <w:szCs w:val="20"/>
        </w:rPr>
        <w:t>used</w:t>
      </w:r>
      <w:r w:rsidR="00772B93">
        <w:rPr>
          <w:rFonts w:ascii="Arial" w:hAnsi="Arial" w:cs="Arial"/>
          <w:sz w:val="20"/>
          <w:szCs w:val="20"/>
        </w:rPr>
        <w:t xml:space="preserve"> reviews for some of the organisms</w:t>
      </w:r>
      <w:r w:rsidR="00E621AE">
        <w:rPr>
          <w:rFonts w:ascii="Arial" w:hAnsi="Arial" w:cs="Arial"/>
          <w:sz w:val="20"/>
          <w:szCs w:val="20"/>
        </w:rPr>
        <w:t xml:space="preserve"> </w:t>
      </w:r>
      <w:r w:rsidR="008C00CA">
        <w:rPr>
          <w:rFonts w:ascii="Arial" w:hAnsi="Arial" w:cs="Arial"/>
          <w:sz w:val="20"/>
          <w:szCs w:val="20"/>
        </w:rPr>
        <w:t xml:space="preserve">that reported </w:t>
      </w:r>
      <w:r w:rsidR="00E621AE">
        <w:rPr>
          <w:rFonts w:ascii="Arial" w:hAnsi="Arial" w:cs="Arial"/>
          <w:sz w:val="20"/>
          <w:szCs w:val="20"/>
        </w:rPr>
        <w:t>pool</w:t>
      </w:r>
      <w:r w:rsidR="007B22C1">
        <w:rPr>
          <w:rFonts w:ascii="Arial" w:hAnsi="Arial" w:cs="Arial"/>
          <w:sz w:val="20"/>
          <w:szCs w:val="20"/>
        </w:rPr>
        <w:t xml:space="preserve">ed </w:t>
      </w:r>
      <w:r w:rsidR="00E621AE">
        <w:rPr>
          <w:rFonts w:ascii="Arial" w:hAnsi="Arial" w:cs="Arial"/>
          <w:sz w:val="20"/>
          <w:szCs w:val="20"/>
        </w:rPr>
        <w:t>estimates</w:t>
      </w:r>
      <w:r w:rsidR="007D4372">
        <w:rPr>
          <w:rFonts w:ascii="Arial" w:hAnsi="Arial" w:cs="Arial"/>
          <w:sz w:val="20"/>
          <w:szCs w:val="20"/>
        </w:rPr>
        <w:t xml:space="preserve"> across different </w:t>
      </w:r>
      <w:r w:rsidR="008C00CA">
        <w:rPr>
          <w:rFonts w:ascii="Arial" w:hAnsi="Arial" w:cs="Arial"/>
          <w:sz w:val="20"/>
          <w:szCs w:val="20"/>
        </w:rPr>
        <w:t>geographical locations</w:t>
      </w:r>
      <w:r w:rsidR="00772B93">
        <w:rPr>
          <w:rFonts w:ascii="Arial" w:hAnsi="Arial" w:cs="Arial"/>
          <w:sz w:val="20"/>
          <w:szCs w:val="20"/>
        </w:rPr>
        <w:t xml:space="preserve">. In the Supplementary </w:t>
      </w:r>
      <w:r w:rsidR="0033470D">
        <w:rPr>
          <w:rFonts w:ascii="Arial" w:hAnsi="Arial" w:cs="Arial"/>
          <w:sz w:val="20"/>
          <w:szCs w:val="20"/>
        </w:rPr>
        <w:t>Information</w:t>
      </w:r>
      <w:r w:rsidR="003F5F0B">
        <w:rPr>
          <w:rFonts w:ascii="Arial" w:hAnsi="Arial" w:cs="Arial"/>
          <w:sz w:val="20"/>
          <w:szCs w:val="20"/>
        </w:rPr>
        <w:t xml:space="preserve"> section</w:t>
      </w:r>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w:t>
      </w:r>
      <w:r w:rsidR="0049196F">
        <w:rPr>
          <w:rFonts w:ascii="Arial" w:hAnsi="Arial" w:cs="Arial"/>
          <w:sz w:val="20"/>
          <w:szCs w:val="20"/>
        </w:rPr>
        <w:t>,</w:t>
      </w:r>
      <w:r w:rsidR="00772B93">
        <w:rPr>
          <w:rFonts w:ascii="Arial" w:hAnsi="Arial" w:cs="Arial"/>
          <w:sz w:val="20"/>
          <w:szCs w:val="20"/>
        </w:rPr>
        <w:t xml:space="preserve"> </w:t>
      </w:r>
      <w:r w:rsidR="00D03447">
        <w:rPr>
          <w:rFonts w:ascii="Arial" w:hAnsi="Arial" w:cs="Arial"/>
          <w:sz w:val="20"/>
          <w:szCs w:val="20"/>
        </w:rPr>
        <w:t>sources</w:t>
      </w:r>
      <w:r>
        <w:rPr>
          <w:rFonts w:ascii="Arial" w:hAnsi="Arial" w:cs="Arial"/>
          <w:sz w:val="20"/>
          <w:szCs w:val="20"/>
        </w:rPr>
        <w:t>,</w:t>
      </w:r>
      <w:r w:rsidR="003F5F0B">
        <w:rPr>
          <w:rFonts w:ascii="Arial" w:hAnsi="Arial" w:cs="Arial"/>
          <w:sz w:val="20"/>
          <w:szCs w:val="20"/>
        </w:rPr>
        <w:t xml:space="preserve"> </w:t>
      </w:r>
      <w:r w:rsidR="00772B93">
        <w:rPr>
          <w:rFonts w:ascii="Arial" w:hAnsi="Arial" w:cs="Arial"/>
          <w:sz w:val="20"/>
          <w:szCs w:val="20"/>
        </w:rPr>
        <w:t xml:space="preserve">and a small description of the study, </w:t>
      </w:r>
      <w:r w:rsidR="00AE77B1">
        <w:rPr>
          <w:rFonts w:ascii="Arial" w:hAnsi="Arial" w:cs="Arial"/>
          <w:sz w:val="20"/>
          <w:szCs w:val="20"/>
        </w:rPr>
        <w:t xml:space="preserve">with </w:t>
      </w:r>
      <w:r w:rsidR="00772B93">
        <w:rPr>
          <w:rFonts w:ascii="Arial" w:hAnsi="Arial" w:cs="Arial"/>
          <w:sz w:val="20"/>
          <w:szCs w:val="20"/>
        </w:rPr>
        <w:t xml:space="preserve">the </w:t>
      </w:r>
      <w:r w:rsidR="009326AB">
        <w:rPr>
          <w:rFonts w:ascii="Arial" w:hAnsi="Arial" w:cs="Arial"/>
          <w:sz w:val="20"/>
          <w:szCs w:val="20"/>
        </w:rPr>
        <w:t xml:space="preserve">geographical </w:t>
      </w:r>
      <w:r w:rsidR="00772B93">
        <w:rPr>
          <w:rFonts w:ascii="Arial" w:hAnsi="Arial" w:cs="Arial"/>
          <w:sz w:val="20"/>
          <w:szCs w:val="20"/>
        </w:rPr>
        <w:lastRenderedPageBreak/>
        <w:t>location and population</w:t>
      </w:r>
      <w:r w:rsidR="003F5F0B">
        <w:rPr>
          <w:rFonts w:ascii="Arial" w:hAnsi="Arial" w:cs="Arial"/>
          <w:sz w:val="20"/>
          <w:szCs w:val="20"/>
        </w:rPr>
        <w:t xml:space="preserve"> of interest</w:t>
      </w:r>
      <w:r w:rsidR="00E621AE">
        <w:rPr>
          <w:rFonts w:ascii="Arial" w:hAnsi="Arial" w:cs="Arial"/>
          <w:sz w:val="20"/>
          <w:szCs w:val="20"/>
        </w:rPr>
        <w:t>; in</w:t>
      </w:r>
      <w:r w:rsidR="00772B93">
        <w:rPr>
          <w:rFonts w:ascii="Arial" w:hAnsi="Arial" w:cs="Arial"/>
          <w:sz w:val="20"/>
          <w:szCs w:val="20"/>
        </w:rPr>
        <w:t xml:space="preserve"> Table 1 we consigned a resume with the values</w:t>
      </w:r>
      <w:r w:rsidR="003F5F0B">
        <w:rPr>
          <w:rFonts w:ascii="Arial" w:hAnsi="Arial" w:cs="Arial"/>
          <w:sz w:val="20"/>
          <w:szCs w:val="20"/>
        </w:rPr>
        <w:t>.</w:t>
      </w:r>
      <w:r w:rsidR="00D57284">
        <w:rPr>
          <w:rFonts w:ascii="Arial" w:hAnsi="Arial" w:cs="Arial"/>
          <w:sz w:val="20"/>
          <w:szCs w:val="20"/>
        </w:rPr>
        <w:t xml:space="preserve"> </w:t>
      </w:r>
      <w:r w:rsidR="005E4095">
        <w:rPr>
          <w:rFonts w:ascii="Arial" w:hAnsi="Arial" w:cs="Arial"/>
          <w:sz w:val="20"/>
          <w:szCs w:val="20"/>
        </w:rPr>
        <w:t>We couple the ABM with a Bayesian inference algorithm, validate the system against simulated outbreaks and estimate</w:t>
      </w:r>
      <w:r w:rsidR="002A1ABE">
        <w:rPr>
          <w:rFonts w:ascii="Arial" w:hAnsi="Arial" w:cs="Arial"/>
          <w:sz w:val="20"/>
          <w:szCs w:val="20"/>
        </w:rPr>
        <w:t xml:space="preserve"> the</w:t>
      </w:r>
      <w:r w:rsidR="005E4095">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sidR="005E4095">
        <w:rPr>
          <w:rFonts w:ascii="Arial" w:hAnsi="Arial" w:cs="Arial"/>
          <w:sz w:val="20"/>
          <w:szCs w:val="20"/>
        </w:rPr>
        <w:t xml:space="preserve">and nosocomial transmission rates for the eight </w:t>
      </w:r>
      <w:r>
        <w:rPr>
          <w:rFonts w:ascii="Arial" w:hAnsi="Arial" w:cs="Arial"/>
          <w:sz w:val="20"/>
          <w:szCs w:val="20"/>
        </w:rPr>
        <w:t>micro</w:t>
      </w:r>
      <w:r w:rsidR="005E4095">
        <w:rPr>
          <w:rFonts w:ascii="Arial" w:hAnsi="Arial" w:cs="Arial"/>
          <w:sz w:val="20"/>
          <w:szCs w:val="20"/>
        </w:rPr>
        <w:t xml:space="preserve">organisms, which cause substantial mortality associated with AMR worldwide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5E4095">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 xml:space="preserve">We explored whether bias in the inferences was inherent to structural identifiability or caused by Monte Carlo error.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these</w:t>
      </w:r>
      <w:r w:rsidR="008C00CA">
        <w:rPr>
          <w:rFonts w:ascii="Arial" w:hAnsi="Arial" w:cs="Arial"/>
          <w:sz w:val="20"/>
          <w:szCs w:val="20"/>
        </w:rPr>
        <w:t xml:space="preserve"> parameters. </w:t>
      </w:r>
    </w:p>
    <w:p w14:paraId="559081B1" w14:textId="05B58251" w:rsidR="00423CC5" w:rsidRDefault="006D723C" w:rsidP="00375E79">
      <w:pPr>
        <w:spacing w:line="360" w:lineRule="auto"/>
        <w:jc w:val="both"/>
        <w:rPr>
          <w:rFonts w:ascii="Arial" w:hAnsi="Arial" w:cs="Arial"/>
          <w:sz w:val="20"/>
          <w:szCs w:val="20"/>
        </w:rPr>
      </w:pPr>
      <w:ins w:id="5" w:author="Cascante Vega, Jaime E." w:date="2023-04-26T13:51:00Z">
        <w:r>
          <w:rPr>
            <w:rFonts w:ascii="Arial" w:hAnsi="Arial" w:cs="Arial"/>
            <w:sz w:val="20"/>
            <w:szCs w:val="20"/>
          </w:rPr>
          <w:t xml:space="preserve">As suggested in (cite) host-to-host transmission is </w:t>
        </w:r>
      </w:ins>
      <w:ins w:id="6" w:author="Cascante Vega, Jaime E." w:date="2023-04-26T13:52:00Z">
        <w:r w:rsidR="00407F9C">
          <w:rPr>
            <w:rFonts w:ascii="Arial" w:hAnsi="Arial" w:cs="Arial"/>
            <w:sz w:val="20"/>
            <w:szCs w:val="20"/>
          </w:rPr>
          <w:t xml:space="preserve">thougth to be low </w:t>
        </w:r>
      </w:ins>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7"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7"/>
    <w:p w14:paraId="308267D7" w14:textId="66D47D11"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681C0C">
        <w:rPr>
          <w:rFonts w:ascii="Arial" w:hAnsi="Arial" w:cs="Arial"/>
          <w:sz w:val="20"/>
          <w:szCs w:val="20"/>
        </w:rPr>
        <w:t xml:space="preserve">color coded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w:t>
      </w:r>
      <w:r w:rsidR="00AE77B1">
        <w:rPr>
          <w:rFonts w:ascii="Arial" w:hAnsi="Arial" w:cs="Arial"/>
          <w:sz w:val="20"/>
          <w:szCs w:val="20"/>
        </w:rPr>
        <w:t>We fitted a power-law</w:t>
      </w:r>
      <w:r w:rsidR="00790332">
        <w:rPr>
          <w:rFonts w:ascii="Arial" w:hAnsi="Arial" w:cs="Arial"/>
          <w:sz w:val="20"/>
          <w:szCs w:val="20"/>
        </w:rPr>
        <w:t xml:space="preserve"> </w:t>
      </w:r>
      <w:r w:rsidR="00AE77B1">
        <w:rPr>
          <w:rFonts w:ascii="Arial" w:hAnsi="Arial" w:cs="Arial"/>
          <w:sz w:val="20"/>
          <w:szCs w:val="20"/>
        </w:rPr>
        <w:t xml:space="preserve">distribution and obtained the mean ward size was .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258DDBCA" w14:textId="48B1D3E0" w:rsidR="005E4095" w:rsidRDefault="00F60D76" w:rsidP="00AF2500">
      <w:pPr>
        <w:spacing w:line="360" w:lineRule="auto"/>
        <w:jc w:val="both"/>
        <w:rPr>
          <w:rFonts w:ascii="Arial" w:hAnsi="Arial" w:cs="Arial"/>
          <w:sz w:val="20"/>
          <w:szCs w:val="20"/>
        </w:rPr>
      </w:pPr>
      <w:r>
        <w:rPr>
          <w:rFonts w:ascii="Arial" w:hAnsi="Arial" w:cs="Arial"/>
          <w:sz w:val="20"/>
          <w:szCs w:val="20"/>
        </w:rPr>
        <w:lastRenderedPageBreak/>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9EAC5A3" w14:textId="3D40F1CE" w:rsidR="00F02D90" w:rsidRDefault="005E4095" w:rsidP="009D3DD5">
      <w:pPr>
        <w:spacing w:line="360" w:lineRule="auto"/>
        <w:jc w:val="both"/>
        <w:rPr>
          <w:rFonts w:ascii="Arial"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firsst investigated in the model-inference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del w:id="8" w:author="Cascante Vega, Jaime E." w:date="2023-04-26T14:39:00Z">
        <w:r w:rsidR="00522C38" w:rsidDel="00DB7A34">
          <w:rPr>
            <w:rFonts w:ascii="Arial" w:eastAsiaTheme="minorEastAsia" w:hAnsi="Arial" w:cs="Arial"/>
            <w:sz w:val="20"/>
            <w:szCs w:val="20"/>
          </w:rPr>
          <w:delText xml:space="preserve"> </w:delText>
        </w:r>
      </w:del>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m:rPr>
            <m:sty m:val="p"/>
          </m:rPr>
          <w:rPr>
            <w:rFonts w:ascii="Cambria Math" w:eastAsiaTheme="minorEastAsia" w:hAnsi="Cambria Math" w:cs="Arial"/>
            <w:sz w:val="20"/>
            <w:szCs w:val="20"/>
          </w:rPr>
          <m:t xml:space="preserve"> </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522C38">
        <w:rPr>
          <w:rFonts w:ascii="Arial" w:eastAsiaTheme="minorEastAsia" w:hAnsi="Arial" w:cs="Arial"/>
          <w:sz w:val="20"/>
          <w:szCs w:val="20"/>
        </w:rPr>
        <w:t xml:space="preserve"> (See SI section </w:t>
      </w:r>
      <w:r w:rsidR="00522C38">
        <w:rPr>
          <w:rFonts w:ascii="Arial" w:eastAsiaTheme="minorEastAsia" w:hAnsi="Arial" w:cs="Arial"/>
          <w:i/>
          <w:iCs/>
          <w:sz w:val="20"/>
          <w:szCs w:val="20"/>
        </w:rPr>
        <w:t>Model inference framework)</w:t>
      </w:r>
      <w:r w:rsidR="003C2682">
        <w:rPr>
          <w:rFonts w:ascii="Arial" w:eastAsiaTheme="minorEastAsia" w:hAnsi="Arial" w:cs="Arial"/>
          <w:sz w:val="20"/>
          <w:szCs w:val="20"/>
        </w:rPr>
        <w:t xml:space="preserve">. 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Figure </w:t>
      </w:r>
      <w:r w:rsidR="00F72015">
        <w:rPr>
          <w:rFonts w:ascii="Arial" w:eastAsiaTheme="minorEastAsia" w:hAnsi="Arial" w:cs="Arial"/>
          <w:sz w:val="20"/>
          <w:szCs w:val="20"/>
        </w:rPr>
        <w:t xml:space="preserve">2A </w:t>
      </w:r>
      <w:r w:rsidR="00A66999">
        <w:rPr>
          <w:rFonts w:ascii="Arial" w:eastAsiaTheme="minorEastAsia" w:hAnsi="Arial" w:cs="Arial"/>
          <w:sz w:val="20"/>
          <w:szCs w:val="20"/>
        </w:rPr>
        <w:t>highligths</w:t>
      </w:r>
      <w:r w:rsidR="003C2682">
        <w:rPr>
          <w:rFonts w:ascii="Arial" w:eastAsiaTheme="minorEastAsia" w:hAnsi="Arial" w:cs="Arial"/>
          <w:sz w:val="20"/>
          <w:szCs w:val="20"/>
        </w:rPr>
        <w:t>two bits of information, first how the model-inference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(indicated in the limits of each axis), and second how the posterior captures the true parameter values. </w:t>
      </w:r>
      <w:r w:rsidR="00F02D90">
        <w:rPr>
          <w:rFonts w:ascii="Arial" w:eastAsiaTheme="minorEastAsia" w:hAnsi="Arial" w:cs="Arial"/>
          <w:sz w:val="20"/>
          <w:szCs w:val="20"/>
        </w:rPr>
        <w:t xml:space="preserve">Interestingly inferences with </w:t>
      </w:r>
      <m:oMath>
        <m:r>
          <w:rPr>
            <w:rFonts w:ascii="Cambria Math" w:eastAsiaTheme="minorEastAsia" w:hAnsi="Cambria Math" w:cs="Arial"/>
            <w:sz w:val="20"/>
            <w:szCs w:val="20"/>
          </w:rPr>
          <m:t>γ</m:t>
        </m:r>
        <m:r>
          <w:rPr>
            <w:rFonts w:ascii="Cambria Math" w:eastAsiaTheme="minorEastAsia" w:hAnsi="Cambria Math" w:cs="Arial"/>
            <w:sz w:val="20"/>
            <w:szCs w:val="20"/>
          </w:rPr>
          <m:t xml:space="preserve">=25% </m:t>
        </m:r>
      </m:oMath>
      <w:r w:rsidR="00F02D90">
        <w:rPr>
          <w:rFonts w:ascii="Arial" w:eastAsiaTheme="minorEastAsia" w:hAnsi="Arial" w:cs="Arial"/>
          <w:sz w:val="20"/>
          <w:szCs w:val="20"/>
        </w:rPr>
        <w:t xml:space="preserve">are more biased and less sharp than inferences with </w:t>
      </w:r>
      <m:oMath>
        <m:r>
          <w:rPr>
            <w:rFonts w:ascii="Cambria Math" w:eastAsiaTheme="minorEastAsia" w:hAnsi="Cambria Math" w:cs="Arial"/>
            <w:sz w:val="20"/>
            <w:szCs w:val="20"/>
          </w:rPr>
          <m:t>γ</m:t>
        </m:r>
        <m:r>
          <w:rPr>
            <w:rFonts w:ascii="Cambria Math" w:eastAsiaTheme="minorEastAsia" w:hAnsi="Cambria Math" w:cs="Arial"/>
            <w:sz w:val="20"/>
            <w:szCs w:val="20"/>
          </w:rPr>
          <m:t>=50%</m:t>
        </m:r>
      </m:oMath>
      <w:r w:rsidR="00F02D90">
        <w:rPr>
          <w:rFonts w:ascii="Arial" w:eastAsiaTheme="minorEastAsia" w:hAnsi="Arial" w:cs="Arial"/>
          <w:sz w:val="20"/>
          <w:szCs w:val="20"/>
        </w:rPr>
        <w:t xml:space="preserve">. </w:t>
      </w:r>
      <w:r w:rsidR="00830935">
        <w:rPr>
          <w:rFonts w:ascii="Arial" w:hAnsi="Arial" w:cs="Arial"/>
          <w:sz w:val="20"/>
          <w:szCs w:val="20"/>
        </w:rPr>
        <w:t xml:space="preserve">An important question to </w:t>
      </w:r>
      <w:r w:rsidR="00F02D90">
        <w:rPr>
          <w:rFonts w:ascii="Arial" w:hAnsi="Arial" w:cs="Arial"/>
          <w:sz w:val="20"/>
          <w:szCs w:val="20"/>
        </w:rPr>
        <w:t>ask</w:t>
      </w:r>
      <w:r w:rsidR="00F02D90">
        <w:rPr>
          <w:rFonts w:ascii="Arial" w:hAnsi="Arial" w:cs="Arial"/>
          <w:sz w:val="20"/>
          <w:szCs w:val="20"/>
        </w:rPr>
        <w:t xml:space="preserve"> </w:t>
      </w:r>
      <w:r w:rsidR="00830935">
        <w:rPr>
          <w:rFonts w:ascii="Arial" w:hAnsi="Arial" w:cs="Arial"/>
          <w:sz w:val="20"/>
          <w:szCs w:val="20"/>
        </w:rPr>
        <w:t xml:space="preserve">is whether the </w:t>
      </w:r>
      <w:r w:rsidR="00F02D90">
        <w:rPr>
          <w:rFonts w:ascii="Arial" w:hAnsi="Arial" w:cs="Arial"/>
          <w:sz w:val="20"/>
          <w:szCs w:val="20"/>
        </w:rPr>
        <w:t xml:space="preserve">inverse </w:t>
      </w:r>
      <w:r w:rsidR="00830935">
        <w:rPr>
          <w:rFonts w:ascii="Arial" w:hAnsi="Arial" w:cs="Arial"/>
          <w:sz w:val="20"/>
          <w:szCs w:val="20"/>
        </w:rPr>
        <w:t>inference problem is well posed (cite Andrew Stuart); given that the inference is conducted on a single stochastic trajectory,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my numerical results</w:t>
      </w:r>
      <w:r w:rsidR="00830935">
        <w:rPr>
          <w:rFonts w:ascii="Arial" w:hAnsi="Arial" w:cs="Arial"/>
          <w:sz w:val="20"/>
          <w:szCs w:val="20"/>
        </w:rPr>
        <w:t xml:space="preserve"> </w:t>
      </w:r>
      <w:r w:rsidR="00CD18AD">
        <w:rPr>
          <w:rFonts w:ascii="Arial" w:hAnsi="Arial" w:cs="Arial"/>
          <w:sz w:val="20"/>
          <w:szCs w:val="20"/>
        </w:rPr>
        <w:t>SI Figure S5</w:t>
      </w:r>
      <w:r w:rsidR="00A21486">
        <w:rPr>
          <w:rFonts w:ascii="Arial" w:hAnsi="Arial" w:cs="Arial"/>
          <w:sz w:val="20"/>
          <w:szCs w:val="20"/>
        </w:rPr>
        <w:t>A</w:t>
      </w:r>
      <w:r w:rsidR="00CD18AD">
        <w:rPr>
          <w:rFonts w:ascii="Arial" w:hAnsi="Arial" w:cs="Arial"/>
          <w:sz w:val="20"/>
          <w:szCs w:val="20"/>
        </w:rPr>
        <w:t xml:space="preserve"> shows how the goodness-of-fit if the posterior inference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9"/>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conditioned by </w:t>
      </w:r>
      <m:oMath>
        <m:r>
          <w:rPr>
            <w:rFonts w:ascii="Cambria Math" w:hAnsi="Cambria Math" w:cs="Arial"/>
            <w:sz w:val="20"/>
            <w:szCs w:val="20"/>
          </w:rPr>
          <m:t>γ</m:t>
        </m:r>
        <w:commentRangeEnd w:id="9"/>
        <m:r>
          <m:rPr>
            <m:sty m:val="p"/>
          </m:rPr>
          <w:rPr>
            <w:rStyle w:val="CommentReference"/>
            <w:rFonts w:ascii="Cambria Math" w:eastAsia="Times New Roman" w:hAnsi="Cambria Math" w:cs="Times New Roman"/>
          </w:rPr>
          <w:commentReference w:id="9"/>
        </m:r>
      </m:oMath>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When controlling by the Monte Carlo error</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9A00D0">
        <w:rPr>
          <w:rFonts w:ascii="Arial" w:hAnsi="Arial" w:cs="Arial"/>
          <w:sz w:val="20"/>
          <w:szCs w:val="20"/>
        </w:rPr>
        <w:t>decrease</w:t>
      </w:r>
      <w:r w:rsidR="00193D04">
        <w:rPr>
          <w:rFonts w:ascii="Arial" w:hAnsi="Arial" w:cs="Arial"/>
          <w:sz w:val="20"/>
          <w:szCs w:val="20"/>
        </w:rPr>
        <w:t xml:space="preserve"> exponentially with </w:t>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S5B)</w:t>
      </w:r>
      <w:r w:rsidR="00EE220D">
        <w:rPr>
          <w:rFonts w:ascii="Arial" w:eastAsiaTheme="minorEastAsia" w:hAnsi="Arial" w:cs="Arial"/>
          <w:sz w:val="20"/>
          <w:szCs w:val="20"/>
        </w:rPr>
        <w:t>.</w:t>
      </w:r>
    </w:p>
    <w:p w14:paraId="5EEB76F4" w14:textId="4AC6EFE8"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w:t>
      </w:r>
      <w:r w:rsidRPr="005E4095">
        <w:rPr>
          <w:rFonts w:ascii="Arial" w:hAnsi="Arial" w:cs="Arial"/>
          <w:sz w:val="20"/>
          <w:szCs w:val="20"/>
        </w:rPr>
        <w:lastRenderedPageBreak/>
        <w:t xml:space="preserve">one parameter can be reliably estimated </w:t>
      </w:r>
      <w:r w:rsidRPr="005E4095">
        <w:rPr>
          <w:rFonts w:ascii="Arial" w:hAnsi="Arial" w:cs="Arial"/>
          <w:sz w:val="20"/>
          <w:szCs w:val="20"/>
        </w:rPr>
        <w:fldChar w:fldCharType="begin"/>
      </w:r>
      <w:r w:rsidR="00557045">
        <w:rPr>
          <w:rFonts w:ascii="Arial" w:hAnsi="Arial" w:cs="Arial"/>
          <w:sz w:val="20"/>
          <w:szCs w:val="20"/>
        </w:rPr>
        <w:instrText xml:space="preserve"> ADDIN ZOTERO_ITEM CSL_CITATION {"citationID":"SFX9N4mD","properties":{"formattedCitation":"\\super 32\\uc0\\u8211{}34\\nosupersub{}","plainCitation":"32–34","noteIndex":0},"citationItems":[{"id":427,"uris":["http://zotero.org/users/9551388/items/ZGXYURKV"],"itemData":{"id":427,"type":"article-journal","abstract":"A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557045" w:rsidRPr="00557045">
        <w:rPr>
          <w:rFonts w:ascii="Arial" w:hAnsi="Arial" w:cs="Arial"/>
          <w:sz w:val="20"/>
          <w:vertAlign w:val="superscript"/>
          <w:lang w:val="en-GB"/>
        </w:rPr>
        <w:t>32–34</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61A13056"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sidR="00721A44">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lastRenderedPageBreak/>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1AB3AB84"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w:t>
      </w:r>
      <w:r w:rsidRPr="00247C9F">
        <w:rPr>
          <w:rFonts w:ascii="Arial" w:hAnsi="Arial" w:cs="Arial"/>
          <w:sz w:val="20"/>
          <w:szCs w:val="20"/>
        </w:rPr>
        <w:lastRenderedPageBreak/>
        <w:t>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w:t>
      </w:r>
      <w:r>
        <w:rPr>
          <w:rFonts w:ascii="Arial" w:hAnsi="Arial" w:cs="Arial"/>
          <w:color w:val="000000"/>
          <w:sz w:val="20"/>
          <w:szCs w:val="20"/>
        </w:rPr>
        <w:lastRenderedPageBreak/>
        <w:t xml:space="preserve">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115B59CB"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w:t>
      </w:r>
      <w:r>
        <w:rPr>
          <w:rFonts w:ascii="Arial" w:hAnsi="Arial" w:cs="Arial"/>
          <w:sz w:val="20"/>
          <w:szCs w:val="20"/>
        </w:rPr>
        <w:lastRenderedPageBreak/>
        <w:t>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201F69E1"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lastRenderedPageBreak/>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357440B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w:t>
      </w:r>
      <w:r>
        <w:rPr>
          <w:rFonts w:ascii="Arial" w:hAnsi="Arial" w:cs="Arial"/>
          <w:sz w:val="20"/>
          <w:szCs w:val="20"/>
        </w:rPr>
        <w:lastRenderedPageBreak/>
        <w:t xml:space="preserve">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702DA3C5"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w:t>
      </w:r>
      <w:r>
        <w:rPr>
          <w:rFonts w:ascii="Arial" w:hAnsi="Arial" w:cs="Arial"/>
          <w:color w:val="000000"/>
          <w:sz w:val="20"/>
          <w:szCs w:val="20"/>
        </w:rPr>
        <w:lastRenderedPageBreak/>
        <w:t xml:space="preserve">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5D498FE5"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557045">
        <w:rPr>
          <w:rFonts w:ascii="Arial" w:hAnsi="Arial" w:cs="Arial"/>
          <w:sz w:val="20"/>
          <w:szCs w:val="20"/>
        </w:rPr>
        <w:instrText xml:space="preserve"> ADDIN ZOTERO_ITEM CSL_CITATION {"citationID":"V8kT9ZoS","properties":{"formattedCitation":"\\super 31\\nosupersub{}","plainCitation":"31","noteIndex":0},"citationItems":[{"id":218,"uris":["http://zotero.org/users/9551388/items/GPV2JSHX"],"itemData":{"id":218,"type":"article-journal","container-title":"Proceedings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31</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448DBBF1"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{"citationID":"pzPttrOW","properties":{"formattedCitation":"\\super 40,41\\nosupersub{}","plainCitation":"40,41","noteIndex":0},"citationItems":[{"id":205,"uris":["http://zotero.org/users/9551388/items/9R354AKT"],"itemData":{"id":205,"type":"article-journal","abstract":"A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40,41</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557045">
        <w:rPr>
          <w:rFonts w:ascii="Arial" w:hAnsi="Arial" w:cs="Arial"/>
          <w:sz w:val="20"/>
          <w:szCs w:val="20"/>
        </w:rPr>
        <w:instrText xml:space="preserve"> ADDIN ZOTERO_ITEM CSL_CITATION {"citationID":"KrWsqKR4","properties":{"formattedCitation":"\\super 42\\uc0\\u8211{}51\\nosupersub{}","plainCitation":"42–51","noteIndex":0},"citationItems":[{"id":42,"uris":["http://zotero.org/users/9551388/items/PEFRCSMI"],"itemData":{"id":42,"type":"article-journal","abstract":"The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42–51</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C5F48E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97085D">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{"citationID":"a2q8o8bnsq5","properties":{"formattedCitation":"\\super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 xml:space="preserve">carriage 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{"citationID":"1c4wqN9W","properties":{"formattedCitation":"\\super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{"citationID":"EsHX0GTh","properties":{"formattedCitation":"\\super 52,53\\nosupersub{}","plainCitation":"52,53","noteIndex":0},"citationItems":[{"id":200,"uris":["http://zotero.org/users/9551388/items/9E8VPYBM"],"itemData":{"id":200,"type":"article-journal","container-title":"Proceedings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52,53</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problems using Kalman filters .</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{"citationID":"wLZivfXX","properties":{"formattedCitation":"\\super 54,55\\nosupersub{}","plainCitation":"54,55","noteIndex":0},"citationItems":[{"id":212,"uris":["http://zotero.org/users/9551388/items/N275R7HA"],"itemData":{"id":212,"type":"article-journal","abstract":"Abstract\n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54,55</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3EEF672"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7E4B75">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7E4B75">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w:t>
      </w:r>
      <w:r w:rsidRPr="003234E4">
        <w:rPr>
          <w:rFonts w:ascii="Arial" w:hAnsi="Arial" w:cs="Arial"/>
          <w:color w:val="000000"/>
          <w:sz w:val="20"/>
          <w:szCs w:val="20"/>
        </w:rPr>
        <w:lastRenderedPageBreak/>
        <w:t>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 w:id="3" w:author="Cascante Vega, Jaime E." w:date="2023-04-25T22:24:00Z" w:initials="CVJE">
    <w:p w14:paraId="6E0DCBB7" w14:textId="77777777" w:rsidR="00707155" w:rsidRDefault="00707155" w:rsidP="00A17832">
      <w:r>
        <w:rPr>
          <w:rStyle w:val="CommentReference"/>
        </w:rPr>
        <w:annotationRef/>
      </w:r>
      <w:r>
        <w:rPr>
          <w:rFonts w:ascii="Times New Roman" w:eastAsia="Times New Roman" w:hAnsi="Times New Roman" w:cs="Times New Roman"/>
          <w:color w:val="000000"/>
          <w:sz w:val="20"/>
          <w:szCs w:val="20"/>
        </w:rPr>
        <w:t>Is there a citation for Tal’s already?</w:t>
      </w:r>
    </w:p>
    <w:p w14:paraId="6528FEA9" w14:textId="77777777" w:rsidR="00707155" w:rsidRDefault="00707155" w:rsidP="00A17832"/>
  </w:comment>
  <w:comment w:id="9" w:author="Cascante Vega, Jaime E." w:date="2023-04-26T16:04:00Z" w:initials="CVJE">
    <w:p w14:paraId="5851F81E" w14:textId="77777777" w:rsidR="00927FA9" w:rsidRDefault="005F0E97" w:rsidP="007A0927">
      <w:r>
        <w:rPr>
          <w:rStyle w:val="CommentReference"/>
        </w:rPr>
        <w:annotationRef/>
      </w:r>
      <w:r w:rsidR="00927FA9">
        <w:rPr>
          <w:rFonts w:ascii="Times New Roman" w:eastAsia="Times New Roman" w:hAnsi="Times New Roman" w:cs="Times New Roman"/>
          <w:sz w:val="20"/>
          <w:szCs w:val="20"/>
        </w:rPr>
        <w:t xml:space="preserve">- a product of non-linear dynamics and stochasticity (see </w:t>
      </w:r>
      <w:r w:rsidR="00927FA9">
        <w:rPr>
          <w:rFonts w:ascii="Times New Roman" w:eastAsia="Times New Roman" w:hAnsi="Times New Roman" w:cs="Times New Roman"/>
          <w:sz w:val="20"/>
          <w:szCs w:val="20"/>
          <w:u w:val="single"/>
        </w:rPr>
        <w:t xml:space="preserve">Alonso and Pascual, Pei, Cane and Shaman </w:t>
      </w:r>
      <w:r w:rsidR="00927FA9">
        <w:rPr>
          <w:rFonts w:ascii="Times New Roman" w:eastAsia="Times New Roman" w:hAnsi="Times New Roman" w:cs="Times New Roman"/>
          <w:sz w:val="20"/>
          <w:szCs w:val="20"/>
        </w:rPr>
        <w:t xml:space="preserve">for a good model setting for an appropriate mathematical treatment)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528FEA9" w15:done="0"/>
  <w15:commentEx w15:paraId="5851F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2D1BC" w16cex:dateUtc="2023-04-26T02:24:00Z"/>
  <w16cex:commentExtensible w16cex:durableId="27F3C9F3" w16cex:dateUtc="2023-04-26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528FEA9" w16cid:durableId="27F2D1BC"/>
  <w16cid:commentId w16cid:paraId="5851F81E" w16cid:durableId="27F3C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1FA6" w14:textId="77777777" w:rsidR="00847AB0" w:rsidRDefault="00847AB0">
      <w:pPr>
        <w:spacing w:after="0"/>
      </w:pPr>
      <w:r>
        <w:separator/>
      </w:r>
    </w:p>
  </w:endnote>
  <w:endnote w:type="continuationSeparator" w:id="0">
    <w:p w14:paraId="086639B4" w14:textId="77777777" w:rsidR="00847AB0" w:rsidRDefault="00847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B3393" w14:textId="77777777" w:rsidR="00847AB0" w:rsidRDefault="00847AB0">
      <w:pPr>
        <w:spacing w:after="0"/>
      </w:pPr>
      <w:r>
        <w:separator/>
      </w:r>
    </w:p>
  </w:footnote>
  <w:footnote w:type="continuationSeparator" w:id="0">
    <w:p w14:paraId="65529A83" w14:textId="77777777" w:rsidR="00847AB0" w:rsidRDefault="00847A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33A03"/>
    <w:rsid w:val="00036669"/>
    <w:rsid w:val="000420E0"/>
    <w:rsid w:val="000443BD"/>
    <w:rsid w:val="000446EF"/>
    <w:rsid w:val="00045125"/>
    <w:rsid w:val="00056BEB"/>
    <w:rsid w:val="00057B63"/>
    <w:rsid w:val="00061DEF"/>
    <w:rsid w:val="000632D3"/>
    <w:rsid w:val="0006342B"/>
    <w:rsid w:val="00065E7F"/>
    <w:rsid w:val="0006642F"/>
    <w:rsid w:val="000768C9"/>
    <w:rsid w:val="000806EA"/>
    <w:rsid w:val="00081AEE"/>
    <w:rsid w:val="000857B0"/>
    <w:rsid w:val="00090F5C"/>
    <w:rsid w:val="000A06E5"/>
    <w:rsid w:val="000A2803"/>
    <w:rsid w:val="000A5327"/>
    <w:rsid w:val="000B2672"/>
    <w:rsid w:val="000B3A92"/>
    <w:rsid w:val="000C3044"/>
    <w:rsid w:val="000C38C2"/>
    <w:rsid w:val="000D6C41"/>
    <w:rsid w:val="000E161A"/>
    <w:rsid w:val="000E1854"/>
    <w:rsid w:val="000E36FD"/>
    <w:rsid w:val="000E38A1"/>
    <w:rsid w:val="000E3957"/>
    <w:rsid w:val="000E4321"/>
    <w:rsid w:val="000E7B07"/>
    <w:rsid w:val="000F17BE"/>
    <w:rsid w:val="000F6CCC"/>
    <w:rsid w:val="000F757F"/>
    <w:rsid w:val="00101040"/>
    <w:rsid w:val="00116D03"/>
    <w:rsid w:val="0012157F"/>
    <w:rsid w:val="00124BF9"/>
    <w:rsid w:val="001314F1"/>
    <w:rsid w:val="00131AD6"/>
    <w:rsid w:val="001329A1"/>
    <w:rsid w:val="00132CE3"/>
    <w:rsid w:val="001331B3"/>
    <w:rsid w:val="00133BEF"/>
    <w:rsid w:val="001449CE"/>
    <w:rsid w:val="00145277"/>
    <w:rsid w:val="00146381"/>
    <w:rsid w:val="00146ED4"/>
    <w:rsid w:val="00154160"/>
    <w:rsid w:val="00154996"/>
    <w:rsid w:val="00154C10"/>
    <w:rsid w:val="00156368"/>
    <w:rsid w:val="00170C7C"/>
    <w:rsid w:val="00170E3A"/>
    <w:rsid w:val="00182668"/>
    <w:rsid w:val="0018679C"/>
    <w:rsid w:val="001917DA"/>
    <w:rsid w:val="00192F6D"/>
    <w:rsid w:val="00193D04"/>
    <w:rsid w:val="00197222"/>
    <w:rsid w:val="001A3D5F"/>
    <w:rsid w:val="001A4C71"/>
    <w:rsid w:val="001B35D9"/>
    <w:rsid w:val="001B7689"/>
    <w:rsid w:val="001C1BA3"/>
    <w:rsid w:val="001D37D4"/>
    <w:rsid w:val="001E07C7"/>
    <w:rsid w:val="001F15B5"/>
    <w:rsid w:val="001F37F9"/>
    <w:rsid w:val="001F5376"/>
    <w:rsid w:val="001F6AC2"/>
    <w:rsid w:val="00205AA7"/>
    <w:rsid w:val="00215411"/>
    <w:rsid w:val="00215F17"/>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E1FA8"/>
    <w:rsid w:val="002F1B0A"/>
    <w:rsid w:val="002F3AFA"/>
    <w:rsid w:val="0031064D"/>
    <w:rsid w:val="0031480A"/>
    <w:rsid w:val="0031564A"/>
    <w:rsid w:val="00321B8A"/>
    <w:rsid w:val="003234E4"/>
    <w:rsid w:val="00326595"/>
    <w:rsid w:val="0032681B"/>
    <w:rsid w:val="00326DFC"/>
    <w:rsid w:val="00333F4D"/>
    <w:rsid w:val="0033470D"/>
    <w:rsid w:val="00334830"/>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B4542"/>
    <w:rsid w:val="003C2682"/>
    <w:rsid w:val="003C4174"/>
    <w:rsid w:val="003D0CA7"/>
    <w:rsid w:val="003D6104"/>
    <w:rsid w:val="003D62E6"/>
    <w:rsid w:val="003E113C"/>
    <w:rsid w:val="003E18D5"/>
    <w:rsid w:val="003E2CF3"/>
    <w:rsid w:val="003F0DC8"/>
    <w:rsid w:val="003F1101"/>
    <w:rsid w:val="003F1390"/>
    <w:rsid w:val="003F5F0B"/>
    <w:rsid w:val="003F620A"/>
    <w:rsid w:val="003F627C"/>
    <w:rsid w:val="004033B5"/>
    <w:rsid w:val="004037BB"/>
    <w:rsid w:val="00407F9C"/>
    <w:rsid w:val="004164D7"/>
    <w:rsid w:val="00423CC5"/>
    <w:rsid w:val="00430EA8"/>
    <w:rsid w:val="004332C2"/>
    <w:rsid w:val="00437FEB"/>
    <w:rsid w:val="004460D7"/>
    <w:rsid w:val="0044630F"/>
    <w:rsid w:val="0044643D"/>
    <w:rsid w:val="004528EF"/>
    <w:rsid w:val="00453F37"/>
    <w:rsid w:val="004546BD"/>
    <w:rsid w:val="004608A9"/>
    <w:rsid w:val="00461D76"/>
    <w:rsid w:val="004633B1"/>
    <w:rsid w:val="0046448C"/>
    <w:rsid w:val="004662C7"/>
    <w:rsid w:val="004737A3"/>
    <w:rsid w:val="00474D11"/>
    <w:rsid w:val="00474FFE"/>
    <w:rsid w:val="00476359"/>
    <w:rsid w:val="004768C8"/>
    <w:rsid w:val="0047735C"/>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C0A4B"/>
    <w:rsid w:val="004C49A2"/>
    <w:rsid w:val="004C7047"/>
    <w:rsid w:val="004D0B26"/>
    <w:rsid w:val="004D1409"/>
    <w:rsid w:val="004D2944"/>
    <w:rsid w:val="004E0EBD"/>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56E8"/>
    <w:rsid w:val="00530658"/>
    <w:rsid w:val="00534076"/>
    <w:rsid w:val="00535C23"/>
    <w:rsid w:val="00536D4D"/>
    <w:rsid w:val="005408D5"/>
    <w:rsid w:val="005417E0"/>
    <w:rsid w:val="00542F9C"/>
    <w:rsid w:val="005434E0"/>
    <w:rsid w:val="005518E7"/>
    <w:rsid w:val="00557045"/>
    <w:rsid w:val="005655E4"/>
    <w:rsid w:val="00566BEE"/>
    <w:rsid w:val="00567134"/>
    <w:rsid w:val="00567CDE"/>
    <w:rsid w:val="0058171C"/>
    <w:rsid w:val="005850F3"/>
    <w:rsid w:val="00586351"/>
    <w:rsid w:val="00586A73"/>
    <w:rsid w:val="00590AF7"/>
    <w:rsid w:val="00594567"/>
    <w:rsid w:val="00596708"/>
    <w:rsid w:val="0059670D"/>
    <w:rsid w:val="00596C2B"/>
    <w:rsid w:val="005A094A"/>
    <w:rsid w:val="005A1B4C"/>
    <w:rsid w:val="005A69DF"/>
    <w:rsid w:val="005A78D5"/>
    <w:rsid w:val="005B14F6"/>
    <w:rsid w:val="005B50E4"/>
    <w:rsid w:val="005B7D47"/>
    <w:rsid w:val="005C61C2"/>
    <w:rsid w:val="005C7DD7"/>
    <w:rsid w:val="005E4095"/>
    <w:rsid w:val="005E5879"/>
    <w:rsid w:val="005E785C"/>
    <w:rsid w:val="005F0E97"/>
    <w:rsid w:val="005F114F"/>
    <w:rsid w:val="005F23B0"/>
    <w:rsid w:val="005F31EF"/>
    <w:rsid w:val="00605ED3"/>
    <w:rsid w:val="00610610"/>
    <w:rsid w:val="00614FC1"/>
    <w:rsid w:val="00620E6F"/>
    <w:rsid w:val="00620F75"/>
    <w:rsid w:val="00621786"/>
    <w:rsid w:val="00623869"/>
    <w:rsid w:val="00625E23"/>
    <w:rsid w:val="0063202C"/>
    <w:rsid w:val="00636B3C"/>
    <w:rsid w:val="006419B7"/>
    <w:rsid w:val="00653FD6"/>
    <w:rsid w:val="00654C0F"/>
    <w:rsid w:val="00657C18"/>
    <w:rsid w:val="006649E3"/>
    <w:rsid w:val="00671489"/>
    <w:rsid w:val="00673330"/>
    <w:rsid w:val="0067565D"/>
    <w:rsid w:val="00677C3C"/>
    <w:rsid w:val="00681C0C"/>
    <w:rsid w:val="006841ED"/>
    <w:rsid w:val="00685A26"/>
    <w:rsid w:val="00690FBA"/>
    <w:rsid w:val="006936F3"/>
    <w:rsid w:val="00694312"/>
    <w:rsid w:val="00697C33"/>
    <w:rsid w:val="006A0BFF"/>
    <w:rsid w:val="006A0C03"/>
    <w:rsid w:val="006A1DB8"/>
    <w:rsid w:val="006A3FFD"/>
    <w:rsid w:val="006A7251"/>
    <w:rsid w:val="006B459D"/>
    <w:rsid w:val="006B5D26"/>
    <w:rsid w:val="006B782B"/>
    <w:rsid w:val="006C0CF4"/>
    <w:rsid w:val="006C11F0"/>
    <w:rsid w:val="006C2CF8"/>
    <w:rsid w:val="006C4660"/>
    <w:rsid w:val="006D492D"/>
    <w:rsid w:val="006D5BEB"/>
    <w:rsid w:val="006D723C"/>
    <w:rsid w:val="006F219B"/>
    <w:rsid w:val="006F2519"/>
    <w:rsid w:val="006F6E0A"/>
    <w:rsid w:val="00700413"/>
    <w:rsid w:val="00704920"/>
    <w:rsid w:val="00706558"/>
    <w:rsid w:val="00706D79"/>
    <w:rsid w:val="00707155"/>
    <w:rsid w:val="007145E3"/>
    <w:rsid w:val="00720A6E"/>
    <w:rsid w:val="00720DDF"/>
    <w:rsid w:val="00721A44"/>
    <w:rsid w:val="00721BA7"/>
    <w:rsid w:val="00723768"/>
    <w:rsid w:val="0073114B"/>
    <w:rsid w:val="0074163E"/>
    <w:rsid w:val="00742AFF"/>
    <w:rsid w:val="007527BE"/>
    <w:rsid w:val="00757582"/>
    <w:rsid w:val="0075790B"/>
    <w:rsid w:val="007615F4"/>
    <w:rsid w:val="00772B93"/>
    <w:rsid w:val="00777469"/>
    <w:rsid w:val="00790332"/>
    <w:rsid w:val="007910E4"/>
    <w:rsid w:val="00792378"/>
    <w:rsid w:val="00797834"/>
    <w:rsid w:val="007A7907"/>
    <w:rsid w:val="007B098E"/>
    <w:rsid w:val="007B22C1"/>
    <w:rsid w:val="007B53C0"/>
    <w:rsid w:val="007C2D8A"/>
    <w:rsid w:val="007C4BFD"/>
    <w:rsid w:val="007D167C"/>
    <w:rsid w:val="007D4372"/>
    <w:rsid w:val="007E4B75"/>
    <w:rsid w:val="007F465E"/>
    <w:rsid w:val="0080393B"/>
    <w:rsid w:val="00803FD4"/>
    <w:rsid w:val="008062DB"/>
    <w:rsid w:val="00807585"/>
    <w:rsid w:val="00812267"/>
    <w:rsid w:val="00826AC5"/>
    <w:rsid w:val="008305D2"/>
    <w:rsid w:val="008307A7"/>
    <w:rsid w:val="00830935"/>
    <w:rsid w:val="0083724F"/>
    <w:rsid w:val="008438FB"/>
    <w:rsid w:val="00843C44"/>
    <w:rsid w:val="008440E5"/>
    <w:rsid w:val="00847AB0"/>
    <w:rsid w:val="00855A29"/>
    <w:rsid w:val="00855CFF"/>
    <w:rsid w:val="0085789D"/>
    <w:rsid w:val="008629F8"/>
    <w:rsid w:val="00874636"/>
    <w:rsid w:val="008753F5"/>
    <w:rsid w:val="00880D1C"/>
    <w:rsid w:val="0088396D"/>
    <w:rsid w:val="00884D5F"/>
    <w:rsid w:val="00885288"/>
    <w:rsid w:val="00890DC3"/>
    <w:rsid w:val="00891071"/>
    <w:rsid w:val="008972C3"/>
    <w:rsid w:val="008A0D9B"/>
    <w:rsid w:val="008A27D9"/>
    <w:rsid w:val="008A2F8F"/>
    <w:rsid w:val="008A44C4"/>
    <w:rsid w:val="008A55C1"/>
    <w:rsid w:val="008A592B"/>
    <w:rsid w:val="008A6841"/>
    <w:rsid w:val="008B3291"/>
    <w:rsid w:val="008B40A0"/>
    <w:rsid w:val="008C00CA"/>
    <w:rsid w:val="008C1E3F"/>
    <w:rsid w:val="008C31D2"/>
    <w:rsid w:val="008C3CA7"/>
    <w:rsid w:val="008C44CE"/>
    <w:rsid w:val="008D7B47"/>
    <w:rsid w:val="008D7E5A"/>
    <w:rsid w:val="008E1C35"/>
    <w:rsid w:val="008E3088"/>
    <w:rsid w:val="008E523D"/>
    <w:rsid w:val="008E6DB8"/>
    <w:rsid w:val="008F507C"/>
    <w:rsid w:val="008F53F8"/>
    <w:rsid w:val="008F7C16"/>
    <w:rsid w:val="00904FBD"/>
    <w:rsid w:val="0091425C"/>
    <w:rsid w:val="009145F8"/>
    <w:rsid w:val="00920BB6"/>
    <w:rsid w:val="00921C54"/>
    <w:rsid w:val="00925FE4"/>
    <w:rsid w:val="00927FA9"/>
    <w:rsid w:val="00930659"/>
    <w:rsid w:val="009326AB"/>
    <w:rsid w:val="00940CAF"/>
    <w:rsid w:val="00940EA0"/>
    <w:rsid w:val="009574B8"/>
    <w:rsid w:val="009600A3"/>
    <w:rsid w:val="00962E89"/>
    <w:rsid w:val="00966481"/>
    <w:rsid w:val="00967D01"/>
    <w:rsid w:val="0097085D"/>
    <w:rsid w:val="009725B1"/>
    <w:rsid w:val="00973F74"/>
    <w:rsid w:val="00980C22"/>
    <w:rsid w:val="009914B1"/>
    <w:rsid w:val="00991EBD"/>
    <w:rsid w:val="00993B32"/>
    <w:rsid w:val="00994429"/>
    <w:rsid w:val="00997AE0"/>
    <w:rsid w:val="00997C60"/>
    <w:rsid w:val="009A00D0"/>
    <w:rsid w:val="009B54CA"/>
    <w:rsid w:val="009B7446"/>
    <w:rsid w:val="009C01B6"/>
    <w:rsid w:val="009C49CA"/>
    <w:rsid w:val="009C558C"/>
    <w:rsid w:val="009D0C12"/>
    <w:rsid w:val="009D3121"/>
    <w:rsid w:val="009D326C"/>
    <w:rsid w:val="009D3DD5"/>
    <w:rsid w:val="009E10EE"/>
    <w:rsid w:val="009E6C31"/>
    <w:rsid w:val="009F166D"/>
    <w:rsid w:val="009F388B"/>
    <w:rsid w:val="009F3F46"/>
    <w:rsid w:val="009F66BE"/>
    <w:rsid w:val="00A01E3A"/>
    <w:rsid w:val="00A1401C"/>
    <w:rsid w:val="00A14EBD"/>
    <w:rsid w:val="00A20445"/>
    <w:rsid w:val="00A21486"/>
    <w:rsid w:val="00A229F3"/>
    <w:rsid w:val="00A266C0"/>
    <w:rsid w:val="00A3144C"/>
    <w:rsid w:val="00A35F60"/>
    <w:rsid w:val="00A36209"/>
    <w:rsid w:val="00A5169A"/>
    <w:rsid w:val="00A53343"/>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AF2500"/>
    <w:rsid w:val="00AF5E14"/>
    <w:rsid w:val="00B03062"/>
    <w:rsid w:val="00B04744"/>
    <w:rsid w:val="00B10D1F"/>
    <w:rsid w:val="00B12B7A"/>
    <w:rsid w:val="00B157A7"/>
    <w:rsid w:val="00B16C08"/>
    <w:rsid w:val="00B20C14"/>
    <w:rsid w:val="00B2303E"/>
    <w:rsid w:val="00B30924"/>
    <w:rsid w:val="00B4169B"/>
    <w:rsid w:val="00B53DBC"/>
    <w:rsid w:val="00B542B1"/>
    <w:rsid w:val="00B601BC"/>
    <w:rsid w:val="00B63D08"/>
    <w:rsid w:val="00B65D52"/>
    <w:rsid w:val="00B71CCF"/>
    <w:rsid w:val="00B8033D"/>
    <w:rsid w:val="00B84812"/>
    <w:rsid w:val="00B9147E"/>
    <w:rsid w:val="00B93BC5"/>
    <w:rsid w:val="00B97B33"/>
    <w:rsid w:val="00BA2402"/>
    <w:rsid w:val="00BA2451"/>
    <w:rsid w:val="00BA7C18"/>
    <w:rsid w:val="00BB0987"/>
    <w:rsid w:val="00BC262F"/>
    <w:rsid w:val="00BD0E8E"/>
    <w:rsid w:val="00BD4814"/>
    <w:rsid w:val="00BD5857"/>
    <w:rsid w:val="00BE18D6"/>
    <w:rsid w:val="00BF1544"/>
    <w:rsid w:val="00C00B44"/>
    <w:rsid w:val="00C03AC1"/>
    <w:rsid w:val="00C05AE7"/>
    <w:rsid w:val="00C11F32"/>
    <w:rsid w:val="00C23579"/>
    <w:rsid w:val="00C27EEA"/>
    <w:rsid w:val="00C37A76"/>
    <w:rsid w:val="00C41CA2"/>
    <w:rsid w:val="00C4397B"/>
    <w:rsid w:val="00C512F9"/>
    <w:rsid w:val="00C56286"/>
    <w:rsid w:val="00C604E7"/>
    <w:rsid w:val="00C61B85"/>
    <w:rsid w:val="00C641D4"/>
    <w:rsid w:val="00C668FC"/>
    <w:rsid w:val="00C66BFB"/>
    <w:rsid w:val="00C7084A"/>
    <w:rsid w:val="00C71F57"/>
    <w:rsid w:val="00C81328"/>
    <w:rsid w:val="00C84BD7"/>
    <w:rsid w:val="00C86CC9"/>
    <w:rsid w:val="00C9582B"/>
    <w:rsid w:val="00C96F86"/>
    <w:rsid w:val="00C97AF8"/>
    <w:rsid w:val="00CA17E4"/>
    <w:rsid w:val="00CA7DE0"/>
    <w:rsid w:val="00CB5B28"/>
    <w:rsid w:val="00CC039C"/>
    <w:rsid w:val="00CC36BB"/>
    <w:rsid w:val="00CC4836"/>
    <w:rsid w:val="00CC695D"/>
    <w:rsid w:val="00CD0168"/>
    <w:rsid w:val="00CD0E6D"/>
    <w:rsid w:val="00CD18AD"/>
    <w:rsid w:val="00CD1A6A"/>
    <w:rsid w:val="00CD3E27"/>
    <w:rsid w:val="00CD73B0"/>
    <w:rsid w:val="00CE755F"/>
    <w:rsid w:val="00CF70A7"/>
    <w:rsid w:val="00CF7492"/>
    <w:rsid w:val="00CF77B0"/>
    <w:rsid w:val="00D01476"/>
    <w:rsid w:val="00D03447"/>
    <w:rsid w:val="00D04EFE"/>
    <w:rsid w:val="00D04F3D"/>
    <w:rsid w:val="00D07068"/>
    <w:rsid w:val="00D13FE4"/>
    <w:rsid w:val="00D234BD"/>
    <w:rsid w:val="00D32545"/>
    <w:rsid w:val="00D370BD"/>
    <w:rsid w:val="00D415F4"/>
    <w:rsid w:val="00D45071"/>
    <w:rsid w:val="00D4740B"/>
    <w:rsid w:val="00D534CE"/>
    <w:rsid w:val="00D57284"/>
    <w:rsid w:val="00D6603B"/>
    <w:rsid w:val="00D6711A"/>
    <w:rsid w:val="00D70CBE"/>
    <w:rsid w:val="00D71155"/>
    <w:rsid w:val="00D744E8"/>
    <w:rsid w:val="00D77B39"/>
    <w:rsid w:val="00D94E29"/>
    <w:rsid w:val="00D9501D"/>
    <w:rsid w:val="00DA0AAC"/>
    <w:rsid w:val="00DA2EDE"/>
    <w:rsid w:val="00DA367F"/>
    <w:rsid w:val="00DA517E"/>
    <w:rsid w:val="00DB1394"/>
    <w:rsid w:val="00DB2CD9"/>
    <w:rsid w:val="00DB591A"/>
    <w:rsid w:val="00DB7A0F"/>
    <w:rsid w:val="00DB7A34"/>
    <w:rsid w:val="00DC3122"/>
    <w:rsid w:val="00DD003B"/>
    <w:rsid w:val="00DD358C"/>
    <w:rsid w:val="00DE0646"/>
    <w:rsid w:val="00DE40F4"/>
    <w:rsid w:val="00DF3D5A"/>
    <w:rsid w:val="00DF48AE"/>
    <w:rsid w:val="00E01203"/>
    <w:rsid w:val="00E01540"/>
    <w:rsid w:val="00E01958"/>
    <w:rsid w:val="00E054A5"/>
    <w:rsid w:val="00E05CC3"/>
    <w:rsid w:val="00E1360E"/>
    <w:rsid w:val="00E16882"/>
    <w:rsid w:val="00E17199"/>
    <w:rsid w:val="00E21461"/>
    <w:rsid w:val="00E30DF9"/>
    <w:rsid w:val="00E418D0"/>
    <w:rsid w:val="00E451D3"/>
    <w:rsid w:val="00E6133D"/>
    <w:rsid w:val="00E621AE"/>
    <w:rsid w:val="00E62FBD"/>
    <w:rsid w:val="00E6699C"/>
    <w:rsid w:val="00E6790E"/>
    <w:rsid w:val="00E737CB"/>
    <w:rsid w:val="00E73AD9"/>
    <w:rsid w:val="00E75C98"/>
    <w:rsid w:val="00E76310"/>
    <w:rsid w:val="00E80553"/>
    <w:rsid w:val="00E86B69"/>
    <w:rsid w:val="00E87DE7"/>
    <w:rsid w:val="00E90E92"/>
    <w:rsid w:val="00E9210B"/>
    <w:rsid w:val="00E97108"/>
    <w:rsid w:val="00E97BBF"/>
    <w:rsid w:val="00EA4D48"/>
    <w:rsid w:val="00EA60A8"/>
    <w:rsid w:val="00EB0C4F"/>
    <w:rsid w:val="00EB143A"/>
    <w:rsid w:val="00EB48F5"/>
    <w:rsid w:val="00EC1AC4"/>
    <w:rsid w:val="00EC5F78"/>
    <w:rsid w:val="00EC6859"/>
    <w:rsid w:val="00ED02EA"/>
    <w:rsid w:val="00ED2122"/>
    <w:rsid w:val="00ED3CFE"/>
    <w:rsid w:val="00ED6C68"/>
    <w:rsid w:val="00ED710F"/>
    <w:rsid w:val="00ED7842"/>
    <w:rsid w:val="00EE1F7C"/>
    <w:rsid w:val="00EE220D"/>
    <w:rsid w:val="00EE2564"/>
    <w:rsid w:val="00EF45A3"/>
    <w:rsid w:val="00EF6003"/>
    <w:rsid w:val="00F01F89"/>
    <w:rsid w:val="00F024FD"/>
    <w:rsid w:val="00F02D90"/>
    <w:rsid w:val="00F11823"/>
    <w:rsid w:val="00F12210"/>
    <w:rsid w:val="00F15AA7"/>
    <w:rsid w:val="00F22241"/>
    <w:rsid w:val="00F34C7F"/>
    <w:rsid w:val="00F473FE"/>
    <w:rsid w:val="00F52C79"/>
    <w:rsid w:val="00F60D76"/>
    <w:rsid w:val="00F63C05"/>
    <w:rsid w:val="00F64307"/>
    <w:rsid w:val="00F649EE"/>
    <w:rsid w:val="00F67124"/>
    <w:rsid w:val="00F72015"/>
    <w:rsid w:val="00F720F9"/>
    <w:rsid w:val="00F76F16"/>
    <w:rsid w:val="00F823C3"/>
    <w:rsid w:val="00F838CC"/>
    <w:rsid w:val="00F839A7"/>
    <w:rsid w:val="00F90F55"/>
    <w:rsid w:val="00F94356"/>
    <w:rsid w:val="00FA1C0B"/>
    <w:rsid w:val="00FA5819"/>
    <w:rsid w:val="00FB35C3"/>
    <w:rsid w:val="00FB3EB9"/>
    <w:rsid w:val="00FC296E"/>
    <w:rsid w:val="00FC60F9"/>
    <w:rsid w:val="00FC655B"/>
    <w:rsid w:val="00FD368C"/>
    <w:rsid w:val="00FE0850"/>
    <w:rsid w:val="00FE2C63"/>
    <w:rsid w:val="00FE3632"/>
    <w:rsid w:val="00FE38C2"/>
    <w:rsid w:val="00FE7BE0"/>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20</Pages>
  <Words>41158</Words>
  <Characters>234606</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275214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488</cp:revision>
  <cp:lastPrinted>2022-12-19T18:09:00Z</cp:lastPrinted>
  <dcterms:created xsi:type="dcterms:W3CDTF">2022-12-19T18:09:00Z</dcterms:created>
  <dcterms:modified xsi:type="dcterms:W3CDTF">2023-04-26T20:58:00Z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