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6131" w14:textId="77777777" w:rsidR="00B4371F" w:rsidRPr="00C21754" w:rsidRDefault="00B4371F" w:rsidP="00B4371F">
      <w:pPr>
        <w:widowControl w:val="0"/>
        <w:pBdr>
          <w:top w:val="nil"/>
          <w:left w:val="nil"/>
          <w:bottom w:val="nil"/>
          <w:right w:val="nil"/>
          <w:between w:val="nil"/>
        </w:pBdr>
        <w:rPr>
          <w:sz w:val="36"/>
          <w:szCs w:val="36"/>
        </w:rPr>
        <w:sectPr w:rsidR="00B4371F" w:rsidRPr="00C21754">
          <w:headerReference w:type="default" r:id="rId4"/>
          <w:footerReference w:type="default" r:id="rId5"/>
          <w:pgSz w:w="12240" w:h="15840"/>
          <w:pgMar w:top="1440" w:right="1800" w:bottom="1440" w:left="1800" w:header="720" w:footer="720" w:gutter="0"/>
          <w:pgNumType w:start="1"/>
          <w:cols w:space="720"/>
        </w:sectPr>
      </w:pPr>
    </w:p>
    <w:p w14:paraId="691E5995" w14:textId="77777777" w:rsidR="00B4371F" w:rsidRDefault="00B4371F" w:rsidP="00B4371F">
      <w:pPr>
        <w:rPr>
          <w:rFonts w:ascii="Arial" w:hAnsi="Arial" w:cs="Arial"/>
          <w:sz w:val="28"/>
          <w:szCs w:val="28"/>
        </w:rPr>
      </w:pPr>
      <w:r>
        <w:rPr>
          <w:rFonts w:ascii="Arial" w:hAnsi="Arial" w:cs="Arial"/>
          <w:b/>
          <w:bCs/>
          <w:sz w:val="28"/>
          <w:szCs w:val="28"/>
        </w:rPr>
        <w:lastRenderedPageBreak/>
        <w:t>Title 1</w:t>
      </w:r>
      <w:r w:rsidRPr="00F82A64">
        <w:rPr>
          <w:rFonts w:ascii="Arial" w:hAnsi="Arial" w:cs="Arial"/>
          <w:b/>
          <w:bCs/>
          <w:sz w:val="28"/>
          <w:szCs w:val="28"/>
        </w:rPr>
        <w:t>:</w:t>
      </w:r>
      <w:r w:rsidRPr="00E9528B">
        <w:rPr>
          <w:rFonts w:ascii="Arial" w:hAnsi="Arial" w:cs="Arial"/>
          <w:sz w:val="28"/>
          <w:szCs w:val="28"/>
        </w:rPr>
        <w:t xml:space="preserve"> </w:t>
      </w:r>
      <w:r>
        <w:rPr>
          <w:rFonts w:ascii="Arial" w:hAnsi="Arial" w:cs="Arial"/>
          <w:sz w:val="28"/>
          <w:szCs w:val="28"/>
        </w:rPr>
        <w:t>Estimating</w:t>
      </w:r>
      <w:r w:rsidRPr="00C21754">
        <w:rPr>
          <w:rFonts w:ascii="Arial" w:hAnsi="Arial" w:cs="Arial"/>
          <w:sz w:val="28"/>
          <w:szCs w:val="28"/>
        </w:rPr>
        <w:t xml:space="preserve"> nosocomial transmission of </w:t>
      </w:r>
      <w:r>
        <w:rPr>
          <w:rFonts w:ascii="Arial" w:hAnsi="Arial" w:cs="Arial"/>
          <w:sz w:val="28"/>
          <w:szCs w:val="28"/>
        </w:rPr>
        <w:t>micro-organisms</w:t>
      </w:r>
      <w:r w:rsidRPr="00C21754">
        <w:rPr>
          <w:rFonts w:ascii="Arial" w:hAnsi="Arial" w:cs="Arial"/>
          <w:sz w:val="28"/>
          <w:szCs w:val="28"/>
        </w:rPr>
        <w:t xml:space="preserve"> in hospital settings using </w:t>
      </w:r>
      <w:r>
        <w:rPr>
          <w:rFonts w:ascii="Arial" w:hAnsi="Arial" w:cs="Arial"/>
          <w:sz w:val="28"/>
          <w:szCs w:val="28"/>
        </w:rPr>
        <w:t>patient</w:t>
      </w:r>
      <w:r w:rsidRPr="00C21754">
        <w:rPr>
          <w:rFonts w:ascii="Arial" w:hAnsi="Arial" w:cs="Arial"/>
          <w:sz w:val="28"/>
          <w:szCs w:val="28"/>
        </w:rPr>
        <w:t xml:space="preserve"> records and culture data</w:t>
      </w:r>
    </w:p>
    <w:p w14:paraId="6C9D7BD3" w14:textId="77777777" w:rsidR="00B4371F" w:rsidRPr="00E9528B" w:rsidRDefault="00B4371F" w:rsidP="00B4371F">
      <w:pPr>
        <w:rPr>
          <w:rFonts w:ascii="Arial" w:hAnsi="Arial" w:cs="Arial"/>
          <w:sz w:val="28"/>
          <w:szCs w:val="28"/>
        </w:rPr>
      </w:pPr>
    </w:p>
    <w:p w14:paraId="70A437E6" w14:textId="77777777" w:rsidR="00B4371F" w:rsidRPr="008E35BA" w:rsidRDefault="00B4371F" w:rsidP="00B4371F">
      <w:pPr>
        <w:rPr>
          <w:vertAlign w:val="superscript"/>
        </w:rPr>
      </w:pPr>
      <w:r w:rsidRPr="008E35BA">
        <w:rPr>
          <w:b/>
          <w:bCs/>
        </w:rPr>
        <w:t xml:space="preserve">Authors: </w:t>
      </w:r>
      <w:r w:rsidRPr="008E35BA">
        <w:t>Jaime Cascante Vega</w:t>
      </w:r>
      <w:r w:rsidRPr="008E35BA">
        <w:rPr>
          <w:vertAlign w:val="superscript"/>
        </w:rPr>
        <w:t>1</w:t>
      </w:r>
      <w:r w:rsidRPr="008E35BA">
        <w:t>, Rami Yaari</w:t>
      </w:r>
      <w:r w:rsidRPr="008E35BA">
        <w:rPr>
          <w:vertAlign w:val="superscript"/>
        </w:rPr>
        <w:t>1</w:t>
      </w:r>
      <w:r w:rsidRPr="008E35BA">
        <w:t>,  Tal Robin</w:t>
      </w:r>
      <w:r w:rsidRPr="008E35BA">
        <w:rPr>
          <w:vertAlign w:val="superscript"/>
        </w:rPr>
        <w:t>1</w:t>
      </w:r>
      <w:r w:rsidRPr="008E35BA">
        <w:t>, Lingsheng Wen</w:t>
      </w:r>
      <w:r w:rsidRPr="008E35BA">
        <w:rPr>
          <w:vertAlign w:val="superscript"/>
        </w:rPr>
        <w:t>2</w:t>
      </w:r>
      <w:r w:rsidRPr="008E35BA">
        <w:t>, Jason Zucker</w:t>
      </w:r>
      <w:r w:rsidRPr="008E35BA">
        <w:rPr>
          <w:vertAlign w:val="superscript"/>
        </w:rPr>
        <w:t>2</w:t>
      </w:r>
      <w:r w:rsidRPr="008E35BA">
        <w:t>, Anne-Catrin Uhlemann</w:t>
      </w:r>
      <w:r w:rsidRPr="008E35BA">
        <w:rPr>
          <w:vertAlign w:val="superscript"/>
        </w:rPr>
        <w:t>2</w:t>
      </w:r>
      <w:r w:rsidRPr="008E35BA">
        <w:t>, Sen Pei</w:t>
      </w:r>
      <w:r w:rsidRPr="008E35BA">
        <w:rPr>
          <w:vertAlign w:val="superscript"/>
        </w:rPr>
        <w:t>1,*</w:t>
      </w:r>
      <w:r w:rsidRPr="008E35BA">
        <w:t>, Jeffrey Shaman</w:t>
      </w:r>
      <w:r w:rsidRPr="008E35BA">
        <w:rPr>
          <w:vertAlign w:val="superscript"/>
        </w:rPr>
        <w:t>1,3,*</w:t>
      </w:r>
    </w:p>
    <w:p w14:paraId="2F083428" w14:textId="77777777" w:rsidR="00B4371F" w:rsidRDefault="00B4371F" w:rsidP="00FC0CC7">
      <w:pPr>
        <w:tabs>
          <w:tab w:val="left" w:pos="1753"/>
        </w:tabs>
      </w:pPr>
    </w:p>
    <w:p w14:paraId="352D13D3" w14:textId="3425F3D6" w:rsidR="00E1274E" w:rsidRDefault="00FC0CC7" w:rsidP="00FC0CC7">
      <w:pPr>
        <w:tabs>
          <w:tab w:val="left" w:pos="1753"/>
        </w:tabs>
      </w:pPr>
      <w:r>
        <w:tab/>
      </w:r>
    </w:p>
    <w:p w14:paraId="56F21C1B" w14:textId="7AFC662C" w:rsidR="00FC0CC7" w:rsidRPr="00172D8F" w:rsidRDefault="00FC0CC7" w:rsidP="00FC0CC7">
      <w:pPr>
        <w:tabs>
          <w:tab w:val="left" w:pos="1753"/>
        </w:tabs>
        <w:rPr>
          <w:b/>
          <w:bCs/>
        </w:rPr>
      </w:pPr>
      <w:r w:rsidRPr="00172D8F">
        <w:rPr>
          <w:b/>
          <w:bCs/>
        </w:rPr>
        <w:t>Background and Aims:</w:t>
      </w:r>
    </w:p>
    <w:p w14:paraId="72FE43D7" w14:textId="77777777" w:rsidR="00FC0CC7" w:rsidRDefault="00FC0CC7" w:rsidP="004033B1">
      <w:pPr>
        <w:tabs>
          <w:tab w:val="left" w:pos="1753"/>
        </w:tabs>
      </w:pPr>
    </w:p>
    <w:p w14:paraId="369890B0" w14:textId="67953C26" w:rsidR="00A142AD" w:rsidRDefault="00E1274E" w:rsidP="00E215F7">
      <w:pPr>
        <w:jc w:val="both"/>
        <w:rPr>
          <w:rStyle w:val="contentpasted0"/>
          <w:color w:val="000000"/>
        </w:rPr>
      </w:pPr>
      <w:r>
        <w:rPr>
          <w:rStyle w:val="contentpasted0"/>
          <w:color w:val="000000"/>
        </w:rPr>
        <w:t>Pathogenic bacteria are a major threat to patient health in hospitals, increasing the length of stay, contributing to mortality, and increasing overall hospital health-</w:t>
      </w:r>
      <w:r w:rsidR="00FC0CC7">
        <w:rPr>
          <w:rStyle w:val="contentpasted0"/>
          <w:color w:val="000000"/>
        </w:rPr>
        <w:t>c</w:t>
      </w:r>
      <w:r>
        <w:rPr>
          <w:rStyle w:val="contentpasted0"/>
          <w:color w:val="000000"/>
        </w:rPr>
        <w:t xml:space="preserve">are-associated costs. Understanding </w:t>
      </w:r>
      <w:r w:rsidR="00FC0CC7">
        <w:rPr>
          <w:rStyle w:val="contentpasted0"/>
          <w:color w:val="000000"/>
        </w:rPr>
        <w:t xml:space="preserve">the natural history and transmission dynamics of </w:t>
      </w:r>
      <w:r>
        <w:rPr>
          <w:rStyle w:val="contentpasted0"/>
          <w:color w:val="000000"/>
        </w:rPr>
        <w:t xml:space="preserve">bacterial pathogens, including those resistant to antibiotics, </w:t>
      </w:r>
      <w:r w:rsidR="00FC0CC7">
        <w:rPr>
          <w:rStyle w:val="contentpasted0"/>
          <w:color w:val="000000"/>
        </w:rPr>
        <w:t xml:space="preserve">are </w:t>
      </w:r>
      <w:r>
        <w:rPr>
          <w:rStyle w:val="contentpasted0"/>
          <w:color w:val="000000"/>
        </w:rPr>
        <w:t xml:space="preserve">critical </w:t>
      </w:r>
      <w:r w:rsidR="00FC0CC7">
        <w:rPr>
          <w:rStyle w:val="contentpasted0"/>
          <w:color w:val="000000"/>
        </w:rPr>
        <w:t xml:space="preserve">for </w:t>
      </w:r>
      <w:r>
        <w:rPr>
          <w:rStyle w:val="contentpasted0"/>
          <w:color w:val="000000"/>
        </w:rPr>
        <w:t>design</w:t>
      </w:r>
      <w:r w:rsidR="00FC0CC7">
        <w:rPr>
          <w:rStyle w:val="contentpasted0"/>
          <w:color w:val="000000"/>
        </w:rPr>
        <w:t>ing</w:t>
      </w:r>
      <w:r>
        <w:rPr>
          <w:rStyle w:val="contentpasted0"/>
          <w:color w:val="000000"/>
        </w:rPr>
        <w:t xml:space="preserve"> better control measures. Similarly, measuring </w:t>
      </w:r>
      <w:r w:rsidR="00FC0CC7">
        <w:rPr>
          <w:rStyle w:val="contentpasted0"/>
          <w:color w:val="000000"/>
        </w:rPr>
        <w:t xml:space="preserve">colonization </w:t>
      </w:r>
      <w:r>
        <w:rPr>
          <w:rStyle w:val="contentpasted0"/>
          <w:color w:val="000000"/>
        </w:rPr>
        <w:t xml:space="preserve">rates in hospitals would help </w:t>
      </w:r>
      <w:r w:rsidR="00FC0CC7">
        <w:rPr>
          <w:rStyle w:val="contentpasted0"/>
          <w:color w:val="000000"/>
        </w:rPr>
        <w:t xml:space="preserve">development of </w:t>
      </w:r>
      <w:r>
        <w:rPr>
          <w:rStyle w:val="contentpasted0"/>
          <w:color w:val="000000"/>
        </w:rPr>
        <w:t xml:space="preserve">a quantitative framework </w:t>
      </w:r>
      <w:r w:rsidR="00FC0CC7">
        <w:rPr>
          <w:rStyle w:val="contentpasted0"/>
          <w:color w:val="000000"/>
        </w:rPr>
        <w:t>that ultimately could support improved</w:t>
      </w:r>
      <w:r>
        <w:rPr>
          <w:rStyle w:val="contentpasted0"/>
          <w:color w:val="000000"/>
        </w:rPr>
        <w:t xml:space="preserve"> surveillance strategies and culture test allocation. Here we leverage electronic health records from a major New York City hospital system collected during 2020-2021 to support inference of</w:t>
      </w:r>
      <w:r>
        <w:rPr>
          <w:rStyle w:val="apple-converted-space"/>
          <w:color w:val="000000"/>
        </w:rPr>
        <w:t> </w:t>
      </w:r>
      <w:r>
        <w:rPr>
          <w:rStyle w:val="contentpasted0"/>
          <w:color w:val="000000"/>
        </w:rPr>
        <w:t>nosocomial transmission and detection</w:t>
      </w:r>
      <w:r>
        <w:rPr>
          <w:rStyle w:val="apple-converted-space"/>
          <w:color w:val="000000"/>
        </w:rPr>
        <w:t> </w:t>
      </w:r>
      <w:r>
        <w:rPr>
          <w:rStyle w:val="contentpasted0"/>
          <w:color w:val="000000"/>
        </w:rPr>
        <w:t xml:space="preserve">for eight micro-organisms. </w:t>
      </w:r>
    </w:p>
    <w:p w14:paraId="3C7F9223" w14:textId="77777777" w:rsidR="00A142AD" w:rsidRDefault="00A142AD">
      <w:pPr>
        <w:rPr>
          <w:rStyle w:val="contentpasted0"/>
          <w:color w:val="000000"/>
        </w:rPr>
      </w:pPr>
    </w:p>
    <w:p w14:paraId="13D28903" w14:textId="754E572F" w:rsidR="00A142AD" w:rsidRPr="00E215F7" w:rsidRDefault="00A142AD">
      <w:pPr>
        <w:rPr>
          <w:rStyle w:val="contentpasted0"/>
          <w:b/>
          <w:bCs/>
          <w:color w:val="000000"/>
        </w:rPr>
      </w:pPr>
      <w:r w:rsidRPr="00E215F7">
        <w:rPr>
          <w:rStyle w:val="contentpasted0"/>
          <w:b/>
          <w:bCs/>
          <w:color w:val="000000"/>
        </w:rPr>
        <w:t>Methods and Results:</w:t>
      </w:r>
    </w:p>
    <w:p w14:paraId="1B97ED7A" w14:textId="77777777" w:rsidR="00A142AD" w:rsidRDefault="00A142AD">
      <w:pPr>
        <w:rPr>
          <w:rStyle w:val="contentpasted0"/>
          <w:color w:val="000000"/>
        </w:rPr>
      </w:pPr>
    </w:p>
    <w:p w14:paraId="5AE2AB81" w14:textId="1ED454E2" w:rsidR="00CC438D" w:rsidRDefault="00E1274E" w:rsidP="00E215F7">
      <w:pPr>
        <w:jc w:val="both"/>
        <w:rPr>
          <w:rStyle w:val="apple-converted-space"/>
          <w:color w:val="000000"/>
        </w:rPr>
      </w:pPr>
      <w:r>
        <w:rPr>
          <w:rStyle w:val="contentpasted0"/>
          <w:color w:val="000000"/>
        </w:rPr>
        <w:t>We develop an agent-based model informed by patient hospitalization records</w:t>
      </w:r>
      <w:r w:rsidR="00E74C35">
        <w:rPr>
          <w:rStyle w:val="contentpasted0"/>
          <w:color w:val="000000"/>
        </w:rPr>
        <w:t>, including admission, transfer and discharge,</w:t>
      </w:r>
      <w:r>
        <w:rPr>
          <w:rStyle w:val="contentpasted0"/>
          <w:color w:val="000000"/>
        </w:rPr>
        <w:t xml:space="preserve"> to simulate importation from the community, nosocomial transmission, and patient spontaneous decolonization of bacteria. The model is coupled with a Bayesian inference algorithm to estimate the likelihood of detection upon testing and nosocomial transmission rates. We evaluate parameter identifiability for this model-inference system and find that it is able to discriminate nosocomial transmission and effective sensitivity upon clinical culture testing. We apply the framework to estimate both quantities for eight prevalent bacterial pathogens:</w:t>
      </w:r>
      <w:r>
        <w:rPr>
          <w:rStyle w:val="apple-converted-space"/>
          <w:color w:val="000000"/>
        </w:rPr>
        <w:t> </w:t>
      </w:r>
      <w:r>
        <w:rPr>
          <w:rStyle w:val="contentpasted0"/>
          <w:i/>
          <w:iCs/>
          <w:color w:val="000000"/>
        </w:rPr>
        <w:t>Escherichia coli, Klebsiella pneumoniae, Pseudomonas aeruginosa, Staphylococcus aureus</w:t>
      </w:r>
      <w:r>
        <w:rPr>
          <w:rStyle w:val="apple-converted-space"/>
          <w:i/>
          <w:iCs/>
          <w:color w:val="000000"/>
        </w:rPr>
        <w:t> </w:t>
      </w:r>
      <w:r>
        <w:rPr>
          <w:rStyle w:val="contentpasted0"/>
          <w:color w:val="000000"/>
        </w:rPr>
        <w:t>(both sensitive, MSSA, and resistant, MRSA, phenotypes),</w:t>
      </w:r>
      <w:r>
        <w:rPr>
          <w:rStyle w:val="apple-converted-space"/>
          <w:color w:val="000000"/>
        </w:rPr>
        <w:t> </w:t>
      </w:r>
      <w:r>
        <w:rPr>
          <w:rStyle w:val="contentpasted0"/>
          <w:i/>
          <w:iCs/>
          <w:color w:val="000000"/>
        </w:rPr>
        <w:t>Staphylococcus epidermidis</w:t>
      </w:r>
      <w:r>
        <w:rPr>
          <w:rStyle w:val="contentpasted0"/>
          <w:color w:val="000000"/>
        </w:rPr>
        <w:t>,</w:t>
      </w:r>
      <w:r>
        <w:rPr>
          <w:rStyle w:val="apple-converted-space"/>
          <w:color w:val="000000"/>
        </w:rPr>
        <w:t> </w:t>
      </w:r>
      <w:r>
        <w:rPr>
          <w:rStyle w:val="contentpasted0"/>
          <w:i/>
          <w:iCs/>
          <w:color w:val="000000"/>
        </w:rPr>
        <w:t>Enterococcus faecium</w:t>
      </w:r>
      <w:r>
        <w:rPr>
          <w:rStyle w:val="apple-converted-space"/>
          <w:color w:val="000000"/>
        </w:rPr>
        <w:t> </w:t>
      </w:r>
      <w:r>
        <w:rPr>
          <w:rStyle w:val="contentpasted0"/>
          <w:color w:val="000000"/>
        </w:rPr>
        <w:t>and</w:t>
      </w:r>
      <w:r>
        <w:rPr>
          <w:rStyle w:val="apple-converted-space"/>
          <w:color w:val="000000"/>
        </w:rPr>
        <w:t> </w:t>
      </w:r>
      <w:r>
        <w:rPr>
          <w:rStyle w:val="contentpasted0"/>
          <w:i/>
          <w:iCs/>
          <w:color w:val="000000"/>
        </w:rPr>
        <w:t>Enterococcus faecalis</w:t>
      </w:r>
      <w:r>
        <w:rPr>
          <w:rStyle w:val="contentpasted0"/>
          <w:color w:val="000000"/>
        </w:rPr>
        <w:t>. We find that nosocomial transmission for</w:t>
      </w:r>
      <w:r>
        <w:rPr>
          <w:rStyle w:val="apple-converted-space"/>
          <w:color w:val="000000"/>
        </w:rPr>
        <w:t> </w:t>
      </w:r>
      <w:r>
        <w:rPr>
          <w:rStyle w:val="contentpasted0"/>
          <w:i/>
          <w:iCs/>
          <w:color w:val="000000"/>
        </w:rPr>
        <w:t>E. coli</w:t>
      </w:r>
      <w:r>
        <w:rPr>
          <w:rStyle w:val="apple-converted-space"/>
          <w:color w:val="000000"/>
        </w:rPr>
        <w:t> </w:t>
      </w:r>
      <w:r>
        <w:rPr>
          <w:rStyle w:val="contentpasted0"/>
          <w:color w:val="000000"/>
        </w:rPr>
        <w:t xml:space="preserve">is negligible and </w:t>
      </w:r>
      <w:r w:rsidR="00E74C35">
        <w:rPr>
          <w:rStyle w:val="contentpasted0"/>
          <w:color w:val="000000"/>
        </w:rPr>
        <w:t xml:space="preserve">is lower for </w:t>
      </w:r>
      <w:r>
        <w:rPr>
          <w:rStyle w:val="contentpasted0"/>
          <w:color w:val="000000"/>
        </w:rPr>
        <w:t>MSSA</w:t>
      </w:r>
      <w:r w:rsidR="00E74C35">
        <w:rPr>
          <w:rStyle w:val="contentpasted0"/>
          <w:color w:val="000000"/>
        </w:rPr>
        <w:t xml:space="preserve"> </w:t>
      </w:r>
      <w:r w:rsidR="00CC438D">
        <w:rPr>
          <w:rStyle w:val="contentpasted0"/>
          <w:color w:val="000000"/>
        </w:rPr>
        <w:t xml:space="preserve">than MRSA. </w:t>
      </w:r>
      <w:r>
        <w:rPr>
          <w:rStyle w:val="contentpasted0"/>
          <w:color w:val="000000"/>
        </w:rPr>
        <w:t xml:space="preserve">While bacterial pathogens </w:t>
      </w:r>
      <w:r w:rsidR="00CC438D">
        <w:rPr>
          <w:rStyle w:val="contentpasted0"/>
          <w:color w:val="000000"/>
        </w:rPr>
        <w:t xml:space="preserve">are found to have </w:t>
      </w:r>
      <w:r>
        <w:rPr>
          <w:rStyle w:val="contentpasted0"/>
          <w:color w:val="000000"/>
        </w:rPr>
        <w:t>different importation rates, nosocomial transmission rates were similar among organisms, except</w:t>
      </w:r>
      <w:r>
        <w:rPr>
          <w:rStyle w:val="apple-converted-space"/>
          <w:color w:val="000000"/>
        </w:rPr>
        <w:t> </w:t>
      </w:r>
      <w:r>
        <w:rPr>
          <w:rStyle w:val="contentpasted0"/>
          <w:i/>
          <w:iCs/>
          <w:color w:val="000000"/>
        </w:rPr>
        <w:t>E. coli</w:t>
      </w:r>
      <w:r>
        <w:rPr>
          <w:rStyle w:val="contentpasted0"/>
          <w:color w:val="000000"/>
        </w:rPr>
        <w:t>. We also</w:t>
      </w:r>
      <w:r>
        <w:rPr>
          <w:rStyle w:val="apple-converted-space"/>
          <w:color w:val="000000"/>
        </w:rPr>
        <w:t> </w:t>
      </w:r>
      <w:r>
        <w:rPr>
          <w:rStyle w:val="contentpasted0"/>
          <w:color w:val="000000"/>
        </w:rPr>
        <w:t xml:space="preserve">find </w:t>
      </w:r>
      <w:r w:rsidR="00CC438D">
        <w:rPr>
          <w:rStyle w:val="contentpasted0"/>
          <w:color w:val="000000"/>
        </w:rPr>
        <w:t xml:space="preserve">a similar </w:t>
      </w:r>
      <w:r>
        <w:rPr>
          <w:rStyle w:val="contentpasted0"/>
          <w:color w:val="000000"/>
        </w:rPr>
        <w:t>estimated likelihood of detection</w:t>
      </w:r>
      <w:r>
        <w:rPr>
          <w:rStyle w:val="apple-converted-space"/>
          <w:color w:val="000000"/>
        </w:rPr>
        <w:t> </w:t>
      </w:r>
      <w:r>
        <w:rPr>
          <w:rStyle w:val="contentpasted0"/>
          <w:color w:val="000000"/>
        </w:rPr>
        <w:t xml:space="preserve"> for all pathogens.</w:t>
      </w:r>
      <w:r>
        <w:rPr>
          <w:rStyle w:val="apple-converted-space"/>
          <w:color w:val="000000"/>
        </w:rPr>
        <w:t> </w:t>
      </w:r>
    </w:p>
    <w:p w14:paraId="4EB98BFF" w14:textId="77777777" w:rsidR="00CC438D" w:rsidRDefault="00CC438D">
      <w:pPr>
        <w:rPr>
          <w:rStyle w:val="apple-converted-space"/>
          <w:color w:val="000000"/>
        </w:rPr>
      </w:pPr>
    </w:p>
    <w:p w14:paraId="119B2A05" w14:textId="5641704E" w:rsidR="00CC438D" w:rsidRPr="00E215F7" w:rsidRDefault="00CC438D">
      <w:pPr>
        <w:rPr>
          <w:rStyle w:val="apple-converted-space"/>
          <w:b/>
          <w:bCs/>
          <w:color w:val="000000"/>
        </w:rPr>
      </w:pPr>
      <w:r w:rsidRPr="00E215F7">
        <w:rPr>
          <w:rStyle w:val="apple-converted-space"/>
          <w:b/>
          <w:bCs/>
          <w:color w:val="000000"/>
        </w:rPr>
        <w:t>Implications:</w:t>
      </w:r>
    </w:p>
    <w:p w14:paraId="7031FA39" w14:textId="77777777" w:rsidR="00CC438D" w:rsidRDefault="00CC438D">
      <w:pPr>
        <w:rPr>
          <w:rStyle w:val="apple-converted-space"/>
          <w:color w:val="000000"/>
        </w:rPr>
      </w:pPr>
    </w:p>
    <w:p w14:paraId="47D5BE34" w14:textId="7BCF2AD4" w:rsidR="00E1274E" w:rsidRDefault="00E1274E" w:rsidP="00E215F7">
      <w:pPr>
        <w:jc w:val="both"/>
      </w:pPr>
      <w:r>
        <w:rPr>
          <w:rStyle w:val="contentpasted0"/>
          <w:color w:val="000000"/>
        </w:rPr>
        <w:t xml:space="preserve">This work highlights how fine-scale patient data can support inference of the epidemiological properties of micro-organisms and how hospital traffic, patient contact and surveillance determine epidemiological </w:t>
      </w:r>
      <w:r w:rsidR="00952BCC">
        <w:rPr>
          <w:rStyle w:val="contentpasted0"/>
          <w:color w:val="000000"/>
        </w:rPr>
        <w:t>characteristics</w:t>
      </w:r>
      <w:r>
        <w:rPr>
          <w:rStyle w:val="contentpasted0"/>
          <w:color w:val="000000"/>
        </w:rPr>
        <w:t>. Evaluation of the surveillance and transmission potential for different pathogens could ultimately support the development of hospital control measures, as well as the design of surveillance strategies. </w:t>
      </w:r>
    </w:p>
    <w:sectPr w:rsidR="00E1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386AC" w14:textId="77777777" w:rsidR="00E6133D"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802482F" w14:textId="77777777" w:rsidR="00E6133D" w:rsidRDefault="00000000">
    <w:pPr>
      <w:pBdr>
        <w:top w:val="nil"/>
        <w:left w:val="nil"/>
        <w:bottom w:val="nil"/>
        <w:right w:val="nil"/>
        <w:between w:val="nil"/>
      </w:pBdr>
      <w:tabs>
        <w:tab w:val="center" w:pos="4680"/>
        <w:tab w:val="right" w:pos="9360"/>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6245" w14:textId="77777777" w:rsidR="00E6133D" w:rsidRDefault="00000000">
    <w:pPr>
      <w:jc w:val="right"/>
      <w:rPr>
        <w:sz w:val="20"/>
        <w:szCs w:val="20"/>
      </w:rPr>
    </w:pPr>
  </w:p>
  <w:p w14:paraId="3B23EAAD" w14:textId="77777777" w:rsidR="00E6133D"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4E"/>
    <w:rsid w:val="000E0A00"/>
    <w:rsid w:val="00172D8F"/>
    <w:rsid w:val="0023056A"/>
    <w:rsid w:val="00341D74"/>
    <w:rsid w:val="003C65ED"/>
    <w:rsid w:val="004033B1"/>
    <w:rsid w:val="00952BCC"/>
    <w:rsid w:val="009E3F9D"/>
    <w:rsid w:val="00A142AD"/>
    <w:rsid w:val="00A47C4C"/>
    <w:rsid w:val="00AE5D09"/>
    <w:rsid w:val="00B4371F"/>
    <w:rsid w:val="00CC17A4"/>
    <w:rsid w:val="00CC438D"/>
    <w:rsid w:val="00E1274E"/>
    <w:rsid w:val="00E20EF7"/>
    <w:rsid w:val="00E215F7"/>
    <w:rsid w:val="00E74C35"/>
    <w:rsid w:val="00FC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69E45"/>
  <w15:chartTrackingRefBased/>
  <w15:docId w15:val="{104178DF-F451-7C40-B8E1-3DA310E4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pasted0">
    <w:name w:val="contentpasted0"/>
    <w:basedOn w:val="DefaultParagraphFont"/>
    <w:rsid w:val="00E1274E"/>
  </w:style>
  <w:style w:type="character" w:customStyle="1" w:styleId="apple-converted-space">
    <w:name w:val="apple-converted-space"/>
    <w:basedOn w:val="DefaultParagraphFont"/>
    <w:rsid w:val="00E1274E"/>
  </w:style>
  <w:style w:type="paragraph" w:styleId="Revision">
    <w:name w:val="Revision"/>
    <w:hidden/>
    <w:uiPriority w:val="99"/>
    <w:semiHidden/>
    <w:rsid w:val="00FC0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Shaman, Jeffrey L.</dc:creator>
  <cp:keywords/>
  <dc:description/>
  <cp:lastModifiedBy>Cascante Vega, Jaime E.</cp:lastModifiedBy>
  <cp:revision>4</cp:revision>
  <dcterms:created xsi:type="dcterms:W3CDTF">2023-06-14T17:03:00Z</dcterms:created>
  <dcterms:modified xsi:type="dcterms:W3CDTF">2023-06-14T17:04:00Z</dcterms:modified>
</cp:coreProperties>
</file>