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Default="00E6133D">
      <w:pPr>
        <w:widowControl w:val="0"/>
        <w:pBdr>
          <w:top w:val="nil"/>
          <w:left w:val="nil"/>
          <w:bottom w:val="nil"/>
          <w:right w:val="nil"/>
          <w:between w:val="nil"/>
        </w:pBdr>
        <w:spacing w:line="360"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Change w:id="0" w:author="Cascante Vega, Jaime E." w:date="2023-05-11T12:03:00Z">
          <w:pPr>
            <w:widowControl w:val="0"/>
            <w:pBdr>
              <w:top w:val="nil"/>
              <w:left w:val="nil"/>
              <w:bottom w:val="nil"/>
              <w:right w:val="nil"/>
              <w:between w:val="nil"/>
            </w:pBdr>
            <w:spacing w:line="276" w:lineRule="auto"/>
          </w:pPr>
        </w:pPrChange>
      </w:pPr>
    </w:p>
    <w:p w14:paraId="1649890B" w14:textId="6C1ABA9D" w:rsidR="00E6133D" w:rsidRPr="00F649EE" w:rsidRDefault="00141458" w:rsidP="008631B0">
      <w:pPr>
        <w:spacing w:line="360" w:lineRule="auto"/>
        <w:rPr>
          <w:rFonts w:ascii="Arial" w:hAnsi="Arial" w:cs="Arial"/>
          <w:b/>
          <w:sz w:val="28"/>
          <w:szCs w:val="28"/>
        </w:rPr>
      </w:pPr>
      <w:r>
        <w:rPr>
          <w:rFonts w:ascii="Arial" w:hAnsi="Arial" w:cs="Arial"/>
          <w:b/>
          <w:sz w:val="28"/>
          <w:szCs w:val="28"/>
        </w:rPr>
        <w:t>M</w:t>
      </w:r>
      <w:r w:rsidR="00E6133D" w:rsidRPr="00F649EE">
        <w:rPr>
          <w:rFonts w:ascii="Arial" w:hAnsi="Arial" w:cs="Arial"/>
          <w:b/>
          <w:sz w:val="28"/>
          <w:szCs w:val="28"/>
        </w:rPr>
        <w:t>ain Manuscript for</w:t>
      </w:r>
    </w:p>
    <w:p w14:paraId="6543E2E2" w14:textId="20CC99F0" w:rsidR="00B8033D" w:rsidRPr="00B8033D" w:rsidRDefault="005B3173" w:rsidP="008631B0">
      <w:pPr>
        <w:spacing w:line="360" w:lineRule="auto"/>
        <w:rPr>
          <w:rFonts w:ascii="Arial" w:hAnsi="Arial" w:cs="Arial"/>
          <w:sz w:val="28"/>
          <w:szCs w:val="28"/>
        </w:rPr>
      </w:pPr>
      <w:r>
        <w:rPr>
          <w:rFonts w:ascii="Arial" w:hAnsi="Arial" w:cs="Arial"/>
          <w:sz w:val="28"/>
          <w:szCs w:val="28"/>
        </w:rPr>
        <w:t>Hospital e</w:t>
      </w:r>
      <w:r w:rsidR="00DD3497">
        <w:rPr>
          <w:rFonts w:ascii="Arial" w:hAnsi="Arial" w:cs="Arial"/>
          <w:sz w:val="28"/>
          <w:szCs w:val="28"/>
        </w:rPr>
        <w:t xml:space="preserve">nvironmental reservoirs </w:t>
      </w:r>
      <w:r>
        <w:rPr>
          <w:rFonts w:ascii="Arial" w:hAnsi="Arial" w:cs="Arial"/>
          <w:sz w:val="28"/>
          <w:szCs w:val="28"/>
        </w:rPr>
        <w:t xml:space="preserve">could </w:t>
      </w:r>
      <w:r w:rsidR="00DD3497">
        <w:rPr>
          <w:rFonts w:ascii="Arial" w:hAnsi="Arial" w:cs="Arial"/>
          <w:sz w:val="28"/>
          <w:szCs w:val="28"/>
        </w:rPr>
        <w:t>shape nosocomial transmission</w:t>
      </w:r>
      <w:r>
        <w:rPr>
          <w:rFonts w:ascii="Arial" w:hAnsi="Arial" w:cs="Arial"/>
          <w:sz w:val="28"/>
          <w:szCs w:val="28"/>
        </w:rPr>
        <w:t xml:space="preserve"> and implications for bacterial communiti</w:t>
      </w:r>
      <w:r w:rsidR="00777BF1">
        <w:rPr>
          <w:rFonts w:ascii="Arial" w:hAnsi="Arial" w:cs="Arial"/>
          <w:sz w:val="28"/>
          <w:szCs w:val="28"/>
        </w:rPr>
        <w:t>e</w:t>
      </w:r>
      <w:r>
        <w:rPr>
          <w:rFonts w:ascii="Arial" w:hAnsi="Arial" w:cs="Arial"/>
          <w:sz w:val="28"/>
          <w:szCs w:val="28"/>
        </w:rPr>
        <w:t>s coexistance</w:t>
      </w:r>
    </w:p>
    <w:p w14:paraId="6A73B9E9" w14:textId="7D31C0E2" w:rsidR="00E6133D" w:rsidRPr="00B8033D" w:rsidRDefault="00B8033D" w:rsidP="008631B0">
      <w:pPr>
        <w:spacing w:line="360" w:lineRule="auto"/>
        <w:rPr>
          <w:rFonts w:ascii="Arial" w:hAnsi="Arial" w:cs="Arial"/>
          <w:sz w:val="20"/>
          <w:szCs w:val="20"/>
          <w:vertAlign w:val="superscript"/>
        </w:rPr>
      </w:pPr>
      <w:r w:rsidRPr="00B8033D">
        <w:rPr>
          <w:rFonts w:ascii="Arial" w:hAnsi="Arial" w:cs="Arial"/>
          <w:sz w:val="20"/>
          <w:szCs w:val="20"/>
        </w:rPr>
        <w:t>Jaime Cascante</w:t>
      </w:r>
      <w:r w:rsidR="00991847">
        <w:rPr>
          <w:rFonts w:ascii="Arial" w:hAnsi="Arial" w:cs="Arial"/>
          <w:sz w:val="20"/>
          <w:szCs w:val="20"/>
        </w:rPr>
        <w:t xml:space="preserve"> </w:t>
      </w:r>
      <w:r w:rsidRPr="00B8033D">
        <w:rPr>
          <w:rFonts w:ascii="Arial" w:hAnsi="Arial" w:cs="Arial"/>
          <w:sz w:val="20"/>
          <w:szCs w:val="20"/>
        </w:rPr>
        <w:t>Vega</w:t>
      </w:r>
      <w:r>
        <w:rPr>
          <w:rFonts w:ascii="Arial" w:hAnsi="Arial" w:cs="Arial"/>
          <w:sz w:val="20"/>
          <w:szCs w:val="20"/>
          <w:vertAlign w:val="superscript"/>
        </w:rPr>
        <w:t>1</w:t>
      </w:r>
      <w:r w:rsidRPr="00B8033D">
        <w:rPr>
          <w:rFonts w:ascii="Arial" w:hAnsi="Arial" w:cs="Arial"/>
          <w:sz w:val="20"/>
          <w:szCs w:val="20"/>
        </w:rPr>
        <w:t xml:space="preserve">, </w:t>
      </w:r>
      <w:r w:rsidR="009E17C8">
        <w:rPr>
          <w:rFonts w:ascii="Arial" w:hAnsi="Arial" w:cs="Arial"/>
          <w:sz w:val="20"/>
          <w:szCs w:val="20"/>
        </w:rPr>
        <w:t>Rami Yarii</w:t>
      </w:r>
      <w:r>
        <w:rPr>
          <w:rFonts w:ascii="Arial" w:hAnsi="Arial" w:cs="Arial"/>
          <w:sz w:val="20"/>
          <w:szCs w:val="20"/>
          <w:vertAlign w:val="superscript"/>
        </w:rPr>
        <w:t>1</w:t>
      </w:r>
      <w:r w:rsidRPr="00B8033D">
        <w:rPr>
          <w:rFonts w:ascii="Arial" w:hAnsi="Arial" w:cs="Arial"/>
          <w:sz w:val="20"/>
          <w:szCs w:val="20"/>
        </w:rPr>
        <w:t>, Sen Pei</w:t>
      </w:r>
      <w:r>
        <w:rPr>
          <w:rFonts w:ascii="Arial" w:hAnsi="Arial" w:cs="Arial"/>
          <w:sz w:val="20"/>
          <w:szCs w:val="20"/>
          <w:vertAlign w:val="superscript"/>
        </w:rPr>
        <w:t>1</w:t>
      </w:r>
      <w:r w:rsidRPr="00B8033D">
        <w:rPr>
          <w:rFonts w:ascii="Arial" w:hAnsi="Arial" w:cs="Arial"/>
          <w:sz w:val="20"/>
          <w:szCs w:val="20"/>
        </w:rPr>
        <w:t>, Jeffrey Shaman</w:t>
      </w:r>
      <w:r>
        <w:rPr>
          <w:rFonts w:ascii="Arial" w:hAnsi="Arial" w:cs="Arial"/>
          <w:sz w:val="20"/>
          <w:szCs w:val="20"/>
          <w:vertAlign w:val="superscript"/>
        </w:rPr>
        <w:t>1,3</w:t>
      </w:r>
    </w:p>
    <w:p w14:paraId="1EA9FEBE" w14:textId="77777777" w:rsidR="00B8033D" w:rsidRDefault="00B8033D" w:rsidP="008631B0">
      <w:pPr>
        <w:spacing w:after="60" w:line="360" w:lineRule="auto"/>
        <w:jc w:val="both"/>
        <w:rPr>
          <w:rFonts w:ascii="Arial" w:eastAsia="Arial" w:hAnsi="Arial" w:cs="Arial"/>
          <w:sz w:val="20"/>
          <w:szCs w:val="20"/>
        </w:rPr>
      </w:pPr>
      <w:r>
        <w:rPr>
          <w:rFonts w:ascii="Arial" w:eastAsia="Arial" w:hAnsi="Arial" w:cs="Arial"/>
          <w:sz w:val="20"/>
          <w:szCs w:val="20"/>
        </w:rPr>
        <w:t>1. Department of Environmental Health Sciences, Mailman School of Public Health, Columbia University, New York, NY, USA.</w:t>
      </w:r>
    </w:p>
    <w:p w14:paraId="2E301163" w14:textId="00E15066" w:rsidR="008D7B47" w:rsidRPr="008D7B47" w:rsidRDefault="00B8033D" w:rsidP="008631B0">
      <w:pPr>
        <w:spacing w:after="60" w:line="360" w:lineRule="auto"/>
        <w:jc w:val="both"/>
        <w:rPr>
          <w:rFonts w:ascii="Arial" w:eastAsia="Arial" w:hAnsi="Arial" w:cs="Arial"/>
          <w:sz w:val="20"/>
          <w:szCs w:val="20"/>
        </w:rPr>
      </w:pPr>
      <w:r>
        <w:rPr>
          <w:rFonts w:ascii="Arial" w:eastAsia="Arial" w:hAnsi="Arial" w:cs="Arial"/>
          <w:sz w:val="20"/>
          <w:szCs w:val="20"/>
        </w:rPr>
        <w:t>3. Columbia Climate School, Columbia University, New York, NY, USA.</w:t>
      </w:r>
    </w:p>
    <w:p w14:paraId="20DFDABE" w14:textId="1DAEE6C8" w:rsidR="00E6133D" w:rsidRPr="00F649EE" w:rsidRDefault="00E6133D" w:rsidP="008631B0">
      <w:pPr>
        <w:spacing w:line="360" w:lineRule="auto"/>
        <w:rPr>
          <w:rFonts w:ascii="Arial" w:hAnsi="Arial" w:cs="Arial"/>
          <w:sz w:val="20"/>
          <w:szCs w:val="20"/>
        </w:rPr>
      </w:pPr>
      <w:r w:rsidRPr="00E6133D">
        <w:rPr>
          <w:rFonts w:ascii="Arial" w:hAnsi="Arial" w:cs="Arial"/>
          <w:sz w:val="20"/>
          <w:szCs w:val="20"/>
        </w:rPr>
        <w:t>*</w:t>
      </w:r>
      <w:r w:rsidR="00EB51DF">
        <w:rPr>
          <w:rFonts w:ascii="Arial" w:hAnsi="Arial" w:cs="Arial"/>
          <w:sz w:val="20"/>
          <w:szCs w:val="20"/>
        </w:rPr>
        <w:t xml:space="preserve"> </w:t>
      </w:r>
      <w:r w:rsidR="008D7B47">
        <w:rPr>
          <w:rFonts w:ascii="Arial" w:hAnsi="Arial" w:cs="Arial"/>
          <w:sz w:val="20"/>
          <w:szCs w:val="20"/>
        </w:rPr>
        <w:t>Sen Pei, Jeffrey Shaman</w:t>
      </w:r>
    </w:p>
    <w:p w14:paraId="46D7756D" w14:textId="215F439E" w:rsidR="00E6133D" w:rsidRPr="00623869" w:rsidRDefault="00E6133D" w:rsidP="008631B0">
      <w:pPr>
        <w:spacing w:line="360" w:lineRule="auto"/>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D7B47" w:rsidRPr="008D7B47">
        <w:rPr>
          <w:rFonts w:ascii="Arial" w:hAnsi="Arial" w:cs="Arial"/>
          <w:sz w:val="20"/>
          <w:szCs w:val="20"/>
        </w:rPr>
        <w:t>sp3449@cumc.columbia.edu</w:t>
      </w:r>
      <w:r w:rsidR="008D7B47">
        <w:rPr>
          <w:rFonts w:ascii="Arial" w:hAnsi="Arial" w:cs="Arial"/>
          <w:sz w:val="20"/>
          <w:szCs w:val="20"/>
        </w:rPr>
        <w:t xml:space="preserve">, </w:t>
      </w:r>
      <w:r w:rsidR="008D7B47" w:rsidRPr="008D7B47">
        <w:rPr>
          <w:rFonts w:ascii="Arial" w:hAnsi="Arial" w:cs="Arial"/>
          <w:sz w:val="20"/>
          <w:szCs w:val="20"/>
        </w:rPr>
        <w:t>jls106@cumc.columbia.edu</w:t>
      </w:r>
    </w:p>
    <w:p w14:paraId="0FE752DA" w14:textId="165D1298" w:rsidR="002457B3" w:rsidRDefault="00623869" w:rsidP="008631B0">
      <w:pPr>
        <w:spacing w:line="360" w:lineRule="auto"/>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2457B3">
        <w:rPr>
          <w:rFonts w:ascii="Arial" w:hAnsi="Arial" w:cs="Arial"/>
          <w:sz w:val="20"/>
          <w:szCs w:val="20"/>
        </w:rPr>
        <w:t>J.C.V.</w:t>
      </w:r>
      <w:r w:rsidR="00A666F3">
        <w:rPr>
          <w:rFonts w:ascii="Arial" w:hAnsi="Arial" w:cs="Arial"/>
          <w:sz w:val="20"/>
          <w:szCs w:val="20"/>
        </w:rPr>
        <w:t xml:space="preserve"> and J.S.</w:t>
      </w:r>
      <w:r w:rsidR="002457B3">
        <w:rPr>
          <w:rFonts w:ascii="Arial" w:hAnsi="Arial" w:cs="Arial"/>
          <w:sz w:val="20"/>
          <w:szCs w:val="20"/>
        </w:rPr>
        <w:t xml:space="preserve"> conceived the study and managed the project. J.C.V. performed the analysis. J.C.V., </w:t>
      </w:r>
      <w:r w:rsidR="008705BD">
        <w:rPr>
          <w:rFonts w:ascii="Arial" w:hAnsi="Arial" w:cs="Arial"/>
          <w:sz w:val="20"/>
          <w:szCs w:val="20"/>
        </w:rPr>
        <w:t>R</w:t>
      </w:r>
      <w:r w:rsidR="00C512F9">
        <w:rPr>
          <w:rFonts w:ascii="Arial" w:hAnsi="Arial" w:cs="Arial"/>
          <w:sz w:val="20"/>
          <w:szCs w:val="20"/>
        </w:rPr>
        <w:t>.</w:t>
      </w:r>
      <w:r w:rsidR="008705BD">
        <w:rPr>
          <w:rFonts w:ascii="Arial" w:hAnsi="Arial" w:cs="Arial"/>
          <w:sz w:val="20"/>
          <w:szCs w:val="20"/>
        </w:rPr>
        <w:t>Y.</w:t>
      </w:r>
      <w:r w:rsidR="00C512F9">
        <w:rPr>
          <w:rFonts w:ascii="Arial" w:hAnsi="Arial" w:cs="Arial"/>
          <w:sz w:val="20"/>
          <w:szCs w:val="20"/>
        </w:rPr>
        <w:t xml:space="preserve">, S.P. </w:t>
      </w:r>
      <w:r w:rsidR="002457B3">
        <w:rPr>
          <w:rFonts w:ascii="Arial" w:hAnsi="Arial" w:cs="Arial"/>
          <w:sz w:val="20"/>
          <w:szCs w:val="20"/>
        </w:rPr>
        <w:t xml:space="preserve">and J.S. </w:t>
      </w:r>
      <w:r w:rsidR="00C512F9">
        <w:rPr>
          <w:rFonts w:ascii="Arial" w:hAnsi="Arial" w:cs="Arial"/>
          <w:sz w:val="20"/>
          <w:szCs w:val="20"/>
        </w:rPr>
        <w:t xml:space="preserve">analyzed </w:t>
      </w:r>
      <w:r w:rsidR="002457B3">
        <w:rPr>
          <w:rFonts w:ascii="Arial" w:hAnsi="Arial" w:cs="Arial"/>
          <w:sz w:val="20"/>
          <w:szCs w:val="20"/>
        </w:rPr>
        <w:t>the results. J.C.V drafted the manuscript</w:t>
      </w:r>
      <w:r w:rsidR="00C512F9">
        <w:rPr>
          <w:rFonts w:ascii="Arial" w:hAnsi="Arial" w:cs="Arial"/>
          <w:sz w:val="20"/>
          <w:szCs w:val="20"/>
        </w:rPr>
        <w:t>. A</w:t>
      </w:r>
      <w:r w:rsidR="002457B3">
        <w:rPr>
          <w:rFonts w:ascii="Arial" w:hAnsi="Arial" w:cs="Arial"/>
          <w:sz w:val="20"/>
          <w:szCs w:val="20"/>
        </w:rPr>
        <w:t>ll authors revised and reviewed the manuscript.</w:t>
      </w:r>
    </w:p>
    <w:p w14:paraId="7A5DDA98" w14:textId="2FB1A07D" w:rsidR="00623869" w:rsidRPr="00BB6B27" w:rsidRDefault="00623869" w:rsidP="008631B0">
      <w:pPr>
        <w:spacing w:line="360" w:lineRule="auto"/>
        <w:rPr>
          <w:rFonts w:ascii="Arial" w:hAnsi="Arial" w:cs="Arial"/>
          <w:sz w:val="20"/>
          <w:szCs w:val="20"/>
        </w:rPr>
      </w:pPr>
      <w:r>
        <w:rPr>
          <w:rFonts w:ascii="Arial" w:hAnsi="Arial" w:cs="Arial"/>
          <w:b/>
          <w:sz w:val="20"/>
          <w:szCs w:val="20"/>
        </w:rPr>
        <w:t xml:space="preserve">Competing Interest Statement: </w:t>
      </w:r>
      <w:r w:rsidR="008D7B47" w:rsidRPr="008D7B47">
        <w:rPr>
          <w:rFonts w:ascii="Arial" w:hAnsi="Arial" w:cs="Arial"/>
          <w:sz w:val="20"/>
          <w:szCs w:val="20"/>
        </w:rPr>
        <w:t>J.S. and Columbia University disclose partial ownership of SK Analytics. J.S. discloses consulting for BNI. All other authors declare no competing interests.</w:t>
      </w:r>
    </w:p>
    <w:p w14:paraId="61606AE0" w14:textId="55DC19B3" w:rsidR="00E6133D" w:rsidRPr="00E6133D" w:rsidRDefault="00E6133D" w:rsidP="008631B0">
      <w:pPr>
        <w:spacing w:line="360" w:lineRule="auto"/>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C512F9" w:rsidRPr="003234E4">
        <w:rPr>
          <w:rFonts w:ascii="Arial" w:hAnsi="Arial" w:cs="Arial"/>
          <w:sz w:val="20"/>
          <w:szCs w:val="20"/>
        </w:rPr>
        <w:t>Major: Biological Sciences. Minor: Biophysics and Computational Biology.</w:t>
      </w:r>
    </w:p>
    <w:p w14:paraId="1265A261" w14:textId="7D9D58D6" w:rsidR="00623869" w:rsidRDefault="00E6133D" w:rsidP="008631B0">
      <w:pPr>
        <w:spacing w:line="360" w:lineRule="auto"/>
        <w:rPr>
          <w:rFonts w:ascii="Arial" w:hAnsi="Arial" w:cs="Arial"/>
          <w:b/>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326DFC" w:rsidRPr="00326DFC">
        <w:rPr>
          <w:rFonts w:ascii="Arial" w:hAnsi="Arial" w:cs="Arial"/>
          <w:sz w:val="20"/>
          <w:szCs w:val="20"/>
        </w:rPr>
        <w:t>epidemiology</w:t>
      </w:r>
      <w:r w:rsidR="00326DFC">
        <w:rPr>
          <w:rFonts w:ascii="Arial" w:hAnsi="Arial" w:cs="Arial"/>
          <w:sz w:val="20"/>
          <w:szCs w:val="20"/>
        </w:rPr>
        <w:t>, micro</w:t>
      </w:r>
      <w:r w:rsidR="001A3103">
        <w:rPr>
          <w:rFonts w:ascii="Arial" w:hAnsi="Arial" w:cs="Arial"/>
          <w:sz w:val="20"/>
          <w:szCs w:val="20"/>
        </w:rPr>
        <w:t>-</w:t>
      </w:r>
      <w:r w:rsidR="00326DFC">
        <w:rPr>
          <w:rFonts w:ascii="Arial" w:hAnsi="Arial" w:cs="Arial"/>
          <w:sz w:val="20"/>
          <w:szCs w:val="20"/>
        </w:rPr>
        <w:t>organisms,</w:t>
      </w:r>
      <w:r w:rsidR="00326DFC" w:rsidRPr="00326DFC">
        <w:rPr>
          <w:rFonts w:ascii="Arial" w:hAnsi="Arial" w:cs="Arial"/>
          <w:sz w:val="20"/>
          <w:szCs w:val="20"/>
        </w:rPr>
        <w:t xml:space="preserve"> antimicrobial resistance</w:t>
      </w:r>
      <w:r w:rsidR="00DD57A2">
        <w:rPr>
          <w:rFonts w:ascii="Arial" w:hAnsi="Arial" w:cs="Arial"/>
          <w:sz w:val="20"/>
          <w:szCs w:val="20"/>
        </w:rPr>
        <w:t>, environmental transmission, pathogenic bacteria</w:t>
      </w:r>
    </w:p>
    <w:p w14:paraId="788EAF02" w14:textId="21CEB795" w:rsidR="00E6133D" w:rsidRPr="00E6133D" w:rsidRDefault="00E6133D" w:rsidP="008631B0">
      <w:pPr>
        <w:spacing w:line="360" w:lineRule="auto"/>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8631B0">
      <w:pPr>
        <w:spacing w:line="360" w:lineRule="auto"/>
        <w:ind w:left="720"/>
        <w:contextualSpacing/>
        <w:rPr>
          <w:rFonts w:ascii="Arial" w:hAnsi="Arial" w:cs="Arial"/>
          <w:sz w:val="20"/>
          <w:szCs w:val="20"/>
        </w:rPr>
      </w:pPr>
      <w:r w:rsidRPr="00E6133D">
        <w:rPr>
          <w:rFonts w:ascii="Arial" w:hAnsi="Arial" w:cs="Arial"/>
          <w:sz w:val="20"/>
          <w:szCs w:val="20"/>
        </w:rPr>
        <w:t>Main Text</w:t>
      </w:r>
    </w:p>
    <w:p w14:paraId="4EEAF45F" w14:textId="67CB14D0" w:rsidR="00474D11" w:rsidRDefault="00E6133D" w:rsidP="008631B0">
      <w:pPr>
        <w:spacing w:line="360" w:lineRule="auto"/>
        <w:ind w:left="720"/>
        <w:contextualSpacing/>
        <w:rPr>
          <w:rFonts w:ascii="Arial" w:hAnsi="Arial" w:cs="Arial"/>
          <w:sz w:val="20"/>
          <w:szCs w:val="20"/>
        </w:rPr>
      </w:pPr>
      <w:r w:rsidRPr="00E6133D">
        <w:rPr>
          <w:rFonts w:ascii="Arial" w:hAnsi="Arial" w:cs="Arial"/>
          <w:sz w:val="20"/>
          <w:szCs w:val="20"/>
        </w:rPr>
        <w:t xml:space="preserve">Figures 1 to </w:t>
      </w:r>
      <w:r w:rsidR="00A20445">
        <w:rPr>
          <w:rFonts w:ascii="Arial" w:hAnsi="Arial" w:cs="Arial"/>
          <w:sz w:val="20"/>
          <w:szCs w:val="20"/>
        </w:rPr>
        <w:t>6</w:t>
      </w:r>
    </w:p>
    <w:p w14:paraId="06589A43" w14:textId="76BB8916" w:rsidR="00E6133D" w:rsidRPr="00474D11" w:rsidRDefault="00E6133D" w:rsidP="008631B0">
      <w:pPr>
        <w:spacing w:line="360" w:lineRule="auto"/>
        <w:ind w:left="720"/>
        <w:contextualSpacing/>
        <w:rPr>
          <w:rFonts w:ascii="Arial" w:hAnsi="Arial" w:cs="Arial"/>
          <w:sz w:val="20"/>
          <w:szCs w:val="20"/>
        </w:rPr>
      </w:pPr>
      <w:r w:rsidRPr="00E6133D">
        <w:rPr>
          <w:rFonts w:ascii="Arial" w:hAnsi="Arial" w:cs="Arial"/>
          <w:sz w:val="20"/>
          <w:szCs w:val="20"/>
        </w:rPr>
        <w:t xml:space="preserve">Tables 1 to </w:t>
      </w:r>
      <w:r w:rsidR="008D7B47">
        <w:rPr>
          <w:rFonts w:ascii="Arial" w:hAnsi="Arial" w:cs="Arial"/>
          <w:sz w:val="20"/>
          <w:szCs w:val="20"/>
        </w:rPr>
        <w:t>2</w:t>
      </w:r>
    </w:p>
    <w:p w14:paraId="53BFAD45" w14:textId="1CFE8ECB" w:rsidR="00991847" w:rsidRPr="00E20759" w:rsidRDefault="00E6133D" w:rsidP="00E20759">
      <w:pPr>
        <w:keepNext/>
        <w:pBdr>
          <w:top w:val="nil"/>
          <w:left w:val="nil"/>
          <w:bottom w:val="nil"/>
          <w:right w:val="nil"/>
          <w:between w:val="nil"/>
        </w:pBdr>
        <w:spacing w:before="240" w:after="60" w:line="360" w:lineRule="auto"/>
        <w:rPr>
          <w:rFonts w:ascii="Arial" w:hAnsi="Arial" w:cs="Arial"/>
          <w:b/>
          <w:color w:val="000000"/>
          <w:sz w:val="20"/>
          <w:szCs w:val="20"/>
        </w:rPr>
      </w:pPr>
      <w:bookmarkStart w:id="1" w:name="30j0zll" w:colFirst="0" w:colLast="0"/>
      <w:bookmarkStart w:id="2" w:name="1fob9te" w:colFirst="0" w:colLast="0"/>
      <w:bookmarkEnd w:id="1"/>
      <w:bookmarkEnd w:id="2"/>
      <w:r w:rsidRPr="00980C22">
        <w:rPr>
          <w:rFonts w:ascii="Arial" w:hAnsi="Arial" w:cs="Arial"/>
          <w:b/>
          <w:color w:val="000000"/>
          <w:sz w:val="20"/>
          <w:szCs w:val="20"/>
        </w:rPr>
        <w:lastRenderedPageBreak/>
        <w:t>Abstract</w:t>
      </w:r>
      <w:r w:rsidR="00DE40F4">
        <w:rPr>
          <w:rFonts w:ascii="Arial" w:hAnsi="Arial" w:cs="Arial"/>
          <w:b/>
          <w:color w:val="000000"/>
          <w:sz w:val="20"/>
          <w:szCs w:val="20"/>
        </w:rPr>
        <w:t xml:space="preserve"> (</w:t>
      </w:r>
      <w:r w:rsidR="008D7B47">
        <w:rPr>
          <w:rFonts w:ascii="Arial" w:hAnsi="Arial" w:cs="Arial"/>
          <w:b/>
          <w:color w:val="000000"/>
          <w:sz w:val="20"/>
          <w:szCs w:val="20"/>
        </w:rPr>
        <w:t>244/</w:t>
      </w:r>
      <w:r w:rsidR="00DE40F4">
        <w:rPr>
          <w:rFonts w:ascii="Arial" w:hAnsi="Arial" w:cs="Arial"/>
          <w:b/>
          <w:color w:val="000000"/>
          <w:sz w:val="20"/>
          <w:szCs w:val="20"/>
        </w:rPr>
        <w:t>250 words)</w:t>
      </w:r>
    </w:p>
    <w:p w14:paraId="45398465" w14:textId="62C49607" w:rsidR="00E6133D" w:rsidRPr="00980C22" w:rsidRDefault="00E6133D" w:rsidP="008631B0">
      <w:pPr>
        <w:keepNext/>
        <w:pBdr>
          <w:top w:val="nil"/>
          <w:left w:val="nil"/>
          <w:bottom w:val="nil"/>
          <w:right w:val="nil"/>
          <w:between w:val="nil"/>
        </w:pBdr>
        <w:spacing w:before="240" w:after="60" w:line="360" w:lineRule="auto"/>
        <w:rPr>
          <w:rFonts w:ascii="Arial" w:hAnsi="Arial" w:cs="Arial"/>
          <w:b/>
          <w:color w:val="000000"/>
          <w:sz w:val="20"/>
          <w:szCs w:val="20"/>
        </w:rPr>
      </w:pPr>
      <w:r w:rsidRPr="00980C22">
        <w:rPr>
          <w:rFonts w:ascii="Arial" w:hAnsi="Arial" w:cs="Arial"/>
          <w:b/>
          <w:color w:val="000000"/>
          <w:sz w:val="20"/>
          <w:szCs w:val="20"/>
        </w:rPr>
        <w:t>Significance Statement</w:t>
      </w:r>
      <w:r w:rsidR="00DE40F4">
        <w:rPr>
          <w:rFonts w:ascii="Arial" w:hAnsi="Arial" w:cs="Arial"/>
          <w:b/>
          <w:color w:val="000000"/>
          <w:sz w:val="20"/>
          <w:szCs w:val="20"/>
        </w:rPr>
        <w:t xml:space="preserve"> (</w:t>
      </w:r>
      <w:r w:rsidR="008D7B47">
        <w:rPr>
          <w:rFonts w:ascii="Arial" w:hAnsi="Arial" w:cs="Arial"/>
          <w:b/>
          <w:color w:val="000000"/>
          <w:sz w:val="20"/>
          <w:szCs w:val="20"/>
        </w:rPr>
        <w:t>1</w:t>
      </w:r>
      <w:r w:rsidR="00D71155">
        <w:rPr>
          <w:rFonts w:ascii="Arial" w:hAnsi="Arial" w:cs="Arial"/>
          <w:b/>
          <w:color w:val="000000"/>
          <w:sz w:val="20"/>
          <w:szCs w:val="20"/>
        </w:rPr>
        <w:t>1</w:t>
      </w:r>
      <w:r w:rsidR="008062DB">
        <w:rPr>
          <w:rFonts w:ascii="Arial" w:hAnsi="Arial" w:cs="Arial"/>
          <w:b/>
          <w:color w:val="000000"/>
          <w:sz w:val="20"/>
          <w:szCs w:val="20"/>
        </w:rPr>
        <w:t>8</w:t>
      </w:r>
      <w:r w:rsidR="008D7B47">
        <w:rPr>
          <w:rFonts w:ascii="Arial" w:hAnsi="Arial" w:cs="Arial"/>
          <w:b/>
          <w:color w:val="000000"/>
          <w:sz w:val="20"/>
          <w:szCs w:val="20"/>
        </w:rPr>
        <w:t>/</w:t>
      </w:r>
      <w:r w:rsidR="00DE40F4">
        <w:rPr>
          <w:rFonts w:ascii="Arial" w:hAnsi="Arial" w:cs="Arial"/>
          <w:b/>
          <w:color w:val="000000"/>
          <w:sz w:val="20"/>
          <w:szCs w:val="20"/>
        </w:rPr>
        <w:t>120 words)</w:t>
      </w:r>
    </w:p>
    <w:p w14:paraId="2A72CFB6" w14:textId="77777777" w:rsidR="00980C22" w:rsidRPr="00980C22" w:rsidRDefault="00980C22"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119741A7" w14:textId="77777777" w:rsidR="00E6133D" w:rsidRDefault="00E6133D"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4903E3B2" w14:textId="59D85195" w:rsidR="00980C22" w:rsidRPr="00980C22" w:rsidRDefault="00E6133D"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Introduction</w:t>
      </w:r>
    </w:p>
    <w:p w14:paraId="10FE9D7F" w14:textId="5BB93AF9" w:rsidR="000071C4" w:rsidRDefault="00DB1386" w:rsidP="008631B0">
      <w:pPr>
        <w:spacing w:line="360" w:lineRule="auto"/>
        <w:jc w:val="both"/>
        <w:rPr>
          <w:rFonts w:ascii="Arial" w:hAnsi="Arial" w:cs="Arial"/>
          <w:sz w:val="20"/>
          <w:szCs w:val="20"/>
        </w:rPr>
      </w:pPr>
      <w:r>
        <w:rPr>
          <w:rFonts w:ascii="Arial" w:hAnsi="Arial" w:cs="Arial"/>
          <w:sz w:val="20"/>
          <w:szCs w:val="20"/>
        </w:rPr>
        <w:t xml:space="preserve">Pathogenic bacteria asymptomatically colonize </w:t>
      </w:r>
      <w:r w:rsidR="00E57565">
        <w:rPr>
          <w:rFonts w:ascii="Arial" w:hAnsi="Arial" w:cs="Arial"/>
          <w:sz w:val="20"/>
          <w:szCs w:val="20"/>
        </w:rPr>
        <w:t>humans</w:t>
      </w:r>
      <w:r w:rsidR="00DD0628">
        <w:rPr>
          <w:rFonts w:ascii="Arial" w:hAnsi="Arial" w:cs="Arial"/>
          <w:sz w:val="20"/>
          <w:szCs w:val="20"/>
        </w:rPr>
        <w:t xml:space="preserve"> as</w:t>
      </w:r>
      <w:r w:rsidR="00AE6BD7">
        <w:rPr>
          <w:rFonts w:ascii="Arial" w:hAnsi="Arial" w:cs="Arial"/>
          <w:sz w:val="20"/>
          <w:szCs w:val="20"/>
        </w:rPr>
        <w:t xml:space="preserve"> they</w:t>
      </w:r>
      <w:r w:rsidR="00DD0628">
        <w:rPr>
          <w:rFonts w:ascii="Arial" w:hAnsi="Arial" w:cs="Arial"/>
          <w:sz w:val="20"/>
          <w:szCs w:val="20"/>
        </w:rPr>
        <w:t xml:space="preserve"> </w:t>
      </w:r>
      <w:r w:rsidR="00EB51DF">
        <w:rPr>
          <w:rFonts w:ascii="Arial" w:hAnsi="Arial" w:cs="Arial"/>
          <w:sz w:val="20"/>
          <w:szCs w:val="20"/>
        </w:rPr>
        <w:t>inhabit</w:t>
      </w:r>
      <w:r w:rsidR="00DD0628">
        <w:rPr>
          <w:rFonts w:ascii="Arial" w:hAnsi="Arial" w:cs="Arial"/>
          <w:sz w:val="20"/>
          <w:szCs w:val="20"/>
        </w:rPr>
        <w:t xml:space="preserve"> the human body</w:t>
      </w:r>
      <w:r w:rsidR="005B2D7F">
        <w:rPr>
          <w:rFonts w:ascii="Arial" w:hAnsi="Arial" w:cs="Arial"/>
          <w:sz w:val="20"/>
          <w:szCs w:val="20"/>
        </w:rPr>
        <w:t xml:space="preserve"> across different body sites</w:t>
      </w:r>
      <w:r w:rsidR="003F4F4E">
        <w:rPr>
          <w:rFonts w:ascii="Arial" w:hAnsi="Arial" w:cs="Arial"/>
          <w:sz w:val="20"/>
          <w:szCs w:val="20"/>
        </w:rPr>
        <w:t>, i.e. are commensals</w:t>
      </w:r>
      <w:r w:rsidR="005B2D7F">
        <w:rPr>
          <w:rFonts w:ascii="Arial" w:hAnsi="Arial" w:cs="Arial"/>
          <w:sz w:val="20"/>
          <w:szCs w:val="20"/>
        </w:rPr>
        <w:t xml:space="preserve"> with specialized niches</w:t>
      </w:r>
      <w:r w:rsidR="00DD0628">
        <w:rPr>
          <w:rFonts w:ascii="Arial" w:hAnsi="Arial" w:cs="Arial"/>
          <w:sz w:val="20"/>
          <w:szCs w:val="20"/>
        </w:rPr>
        <w:t>.</w:t>
      </w:r>
      <w:r w:rsidR="00A9689A">
        <w:rPr>
          <w:rFonts w:ascii="Arial" w:hAnsi="Arial" w:cs="Arial"/>
          <w:sz w:val="20"/>
          <w:szCs w:val="20"/>
        </w:rPr>
        <w:t xml:space="preserve"> This </w:t>
      </w:r>
      <w:r w:rsidR="002552C0">
        <w:rPr>
          <w:rFonts w:ascii="Arial" w:hAnsi="Arial" w:cs="Arial"/>
          <w:sz w:val="20"/>
          <w:szCs w:val="20"/>
        </w:rPr>
        <w:t>has</w:t>
      </w:r>
      <w:r w:rsidR="00A9689A">
        <w:rPr>
          <w:rFonts w:ascii="Arial" w:hAnsi="Arial" w:cs="Arial"/>
          <w:sz w:val="20"/>
          <w:szCs w:val="20"/>
        </w:rPr>
        <w:t xml:space="preserve"> been referred </w:t>
      </w:r>
      <w:r w:rsidR="002552C0">
        <w:rPr>
          <w:rFonts w:ascii="Arial" w:hAnsi="Arial" w:cs="Arial"/>
          <w:sz w:val="20"/>
          <w:szCs w:val="20"/>
        </w:rPr>
        <w:t xml:space="preserve">to </w:t>
      </w:r>
      <w:r w:rsidR="00A9689A">
        <w:rPr>
          <w:rFonts w:ascii="Arial" w:hAnsi="Arial" w:cs="Arial"/>
          <w:sz w:val="20"/>
          <w:szCs w:val="20"/>
        </w:rPr>
        <w:t xml:space="preserve">as </w:t>
      </w:r>
      <w:r w:rsidR="002552C0">
        <w:rPr>
          <w:rFonts w:ascii="Arial" w:hAnsi="Arial" w:cs="Arial"/>
          <w:sz w:val="20"/>
          <w:szCs w:val="20"/>
        </w:rPr>
        <w:t xml:space="preserve">the </w:t>
      </w:r>
      <w:r w:rsidR="00A9689A">
        <w:rPr>
          <w:rFonts w:ascii="Arial" w:hAnsi="Arial" w:cs="Arial"/>
          <w:sz w:val="20"/>
          <w:szCs w:val="20"/>
        </w:rPr>
        <w:t xml:space="preserve">biogeography of bacterial </w:t>
      </w:r>
      <w:r w:rsidR="002552C0">
        <w:rPr>
          <w:rFonts w:ascii="Arial" w:hAnsi="Arial" w:cs="Arial"/>
          <w:sz w:val="20"/>
          <w:szCs w:val="20"/>
        </w:rPr>
        <w:t>communities</w:t>
      </w:r>
      <w:r w:rsidR="00A9689A">
        <w:rPr>
          <w:rFonts w:ascii="Arial" w:hAnsi="Arial" w:cs="Arial"/>
          <w:sz w:val="20"/>
          <w:szCs w:val="20"/>
        </w:rPr>
        <w:t xml:space="preserve"> in </w:t>
      </w:r>
      <w:r w:rsidR="002552C0">
        <w:rPr>
          <w:rFonts w:ascii="Arial" w:hAnsi="Arial" w:cs="Arial"/>
          <w:sz w:val="20"/>
          <w:szCs w:val="20"/>
        </w:rPr>
        <w:t>the</w:t>
      </w:r>
      <w:r w:rsidR="00A9689A">
        <w:rPr>
          <w:rFonts w:ascii="Arial" w:hAnsi="Arial" w:cs="Arial"/>
          <w:sz w:val="20"/>
          <w:szCs w:val="20"/>
        </w:rPr>
        <w:t xml:space="preserve"> human body. Researchers widely </w:t>
      </w:r>
      <w:r w:rsidR="004C0C41">
        <w:rPr>
          <w:rFonts w:ascii="Arial" w:hAnsi="Arial" w:cs="Arial"/>
          <w:sz w:val="20"/>
          <w:szCs w:val="20"/>
        </w:rPr>
        <w:t>recognized</w:t>
      </w:r>
      <w:r w:rsidR="00A9689A">
        <w:rPr>
          <w:rFonts w:ascii="Arial" w:hAnsi="Arial" w:cs="Arial"/>
          <w:sz w:val="20"/>
          <w:szCs w:val="20"/>
        </w:rPr>
        <w:t xml:space="preserve"> this and </w:t>
      </w:r>
      <w:r w:rsidR="004C0C41">
        <w:rPr>
          <w:rFonts w:ascii="Arial" w:hAnsi="Arial" w:cs="Arial"/>
          <w:sz w:val="20"/>
          <w:szCs w:val="20"/>
        </w:rPr>
        <w:t>focused</w:t>
      </w:r>
      <w:r w:rsidR="00A9689A">
        <w:rPr>
          <w:rFonts w:ascii="Arial" w:hAnsi="Arial" w:cs="Arial"/>
          <w:sz w:val="20"/>
          <w:szCs w:val="20"/>
        </w:rPr>
        <w:t xml:space="preserve"> research efforts </w:t>
      </w:r>
      <w:r w:rsidR="002552C0">
        <w:rPr>
          <w:rFonts w:ascii="Arial" w:hAnsi="Arial" w:cs="Arial"/>
          <w:sz w:val="20"/>
          <w:szCs w:val="20"/>
        </w:rPr>
        <w:t>on elucidating</w:t>
      </w:r>
      <w:r w:rsidR="00A9689A">
        <w:rPr>
          <w:rFonts w:ascii="Arial" w:hAnsi="Arial" w:cs="Arial"/>
          <w:sz w:val="20"/>
          <w:szCs w:val="20"/>
        </w:rPr>
        <w:t xml:space="preserve"> </w:t>
      </w:r>
      <w:r w:rsidR="002552C0">
        <w:rPr>
          <w:rFonts w:ascii="Arial" w:hAnsi="Arial" w:cs="Arial"/>
          <w:sz w:val="20"/>
          <w:szCs w:val="20"/>
        </w:rPr>
        <w:t xml:space="preserve">the </w:t>
      </w:r>
      <w:r w:rsidR="00A9689A">
        <w:rPr>
          <w:rFonts w:ascii="Arial" w:hAnsi="Arial" w:cs="Arial"/>
          <w:sz w:val="20"/>
          <w:szCs w:val="20"/>
        </w:rPr>
        <w:t xml:space="preserve">diversity and distribution of the human microbiota. </w:t>
      </w:r>
      <w:r w:rsidR="000C223A">
        <w:rPr>
          <w:rFonts w:ascii="Arial" w:hAnsi="Arial" w:cs="Arial"/>
          <w:sz w:val="20"/>
          <w:szCs w:val="20"/>
        </w:rPr>
        <w:t>In hospital settings</w:t>
      </w:r>
      <w:r w:rsidR="002552C0">
        <w:rPr>
          <w:rFonts w:ascii="Arial" w:hAnsi="Arial" w:cs="Arial"/>
          <w:sz w:val="20"/>
          <w:szCs w:val="20"/>
        </w:rPr>
        <w:t>,</w:t>
      </w:r>
      <w:r w:rsidR="000C223A">
        <w:rPr>
          <w:rFonts w:ascii="Arial" w:hAnsi="Arial" w:cs="Arial"/>
          <w:sz w:val="20"/>
          <w:szCs w:val="20"/>
        </w:rPr>
        <w:t xml:space="preserve"> </w:t>
      </w:r>
      <w:r w:rsidR="00A9689A">
        <w:rPr>
          <w:rFonts w:ascii="Arial" w:hAnsi="Arial" w:cs="Arial"/>
          <w:sz w:val="20"/>
          <w:szCs w:val="20"/>
        </w:rPr>
        <w:t>once bacteria colonize typically sterile</w:t>
      </w:r>
      <w:r w:rsidR="00F939F4">
        <w:rPr>
          <w:rFonts w:ascii="Arial" w:hAnsi="Arial" w:cs="Arial"/>
          <w:sz w:val="20"/>
          <w:szCs w:val="20"/>
        </w:rPr>
        <w:t xml:space="preserve"> bo</w:t>
      </w:r>
      <w:r w:rsidR="00E118FE">
        <w:rPr>
          <w:rFonts w:ascii="Arial" w:hAnsi="Arial" w:cs="Arial"/>
          <w:sz w:val="20"/>
          <w:szCs w:val="20"/>
        </w:rPr>
        <w:t>dy</w:t>
      </w:r>
      <w:r w:rsidR="00A9689A">
        <w:rPr>
          <w:rFonts w:ascii="Arial" w:hAnsi="Arial" w:cs="Arial"/>
          <w:sz w:val="20"/>
          <w:szCs w:val="20"/>
        </w:rPr>
        <w:t xml:space="preserve"> sites</w:t>
      </w:r>
      <w:r w:rsidR="002552C0">
        <w:rPr>
          <w:rFonts w:ascii="Arial" w:hAnsi="Arial" w:cs="Arial"/>
          <w:sz w:val="20"/>
          <w:szCs w:val="20"/>
        </w:rPr>
        <w:t>, the human host cascades a series of immune responses toward treating the infection. This increase</w:t>
      </w:r>
      <w:r w:rsidR="00CE5580">
        <w:rPr>
          <w:rFonts w:ascii="Arial" w:hAnsi="Arial" w:cs="Arial"/>
          <w:sz w:val="20"/>
          <w:szCs w:val="20"/>
        </w:rPr>
        <w:t>s</w:t>
      </w:r>
      <w:r w:rsidR="002552C0">
        <w:rPr>
          <w:rFonts w:ascii="Arial" w:hAnsi="Arial" w:cs="Arial"/>
          <w:sz w:val="20"/>
          <w:szCs w:val="20"/>
        </w:rPr>
        <w:t xml:space="preserve"> the length of stay and significantly </w:t>
      </w:r>
      <w:r w:rsidR="00B328CD">
        <w:rPr>
          <w:rFonts w:ascii="Arial" w:hAnsi="Arial" w:cs="Arial"/>
          <w:sz w:val="20"/>
          <w:szCs w:val="20"/>
        </w:rPr>
        <w:t>contributes</w:t>
      </w:r>
      <w:r w:rsidR="000C223A">
        <w:rPr>
          <w:rFonts w:ascii="Arial" w:hAnsi="Arial" w:cs="Arial"/>
          <w:sz w:val="20"/>
          <w:szCs w:val="20"/>
        </w:rPr>
        <w:t xml:space="preserve"> to mortality. </w:t>
      </w:r>
      <w:r w:rsidR="00726D42">
        <w:rPr>
          <w:rFonts w:ascii="Arial" w:hAnsi="Arial" w:cs="Arial"/>
          <w:sz w:val="20"/>
          <w:szCs w:val="20"/>
        </w:rPr>
        <w:t>Despite this fact understanding</w:t>
      </w:r>
      <w:r w:rsidR="005655DF">
        <w:rPr>
          <w:rFonts w:ascii="Arial" w:hAnsi="Arial" w:cs="Arial"/>
          <w:sz w:val="20"/>
          <w:szCs w:val="20"/>
        </w:rPr>
        <w:t xml:space="preserve"> and quantifying</w:t>
      </w:r>
      <w:r w:rsidR="00726D42">
        <w:rPr>
          <w:rFonts w:ascii="Arial" w:hAnsi="Arial" w:cs="Arial"/>
          <w:sz w:val="20"/>
          <w:szCs w:val="20"/>
        </w:rPr>
        <w:t xml:space="preserve"> in-hospital (nosocomial) transmission is tremendously challenging</w:t>
      </w:r>
      <w:r w:rsidR="000E6773">
        <w:rPr>
          <w:rFonts w:ascii="Arial" w:hAnsi="Arial" w:cs="Arial"/>
          <w:sz w:val="20"/>
          <w:szCs w:val="20"/>
        </w:rPr>
        <w:t xml:space="preserve"> due to the different modes </w:t>
      </w:r>
      <w:r w:rsidR="0012110A">
        <w:rPr>
          <w:rFonts w:ascii="Arial" w:hAnsi="Arial" w:cs="Arial"/>
          <w:sz w:val="20"/>
          <w:szCs w:val="20"/>
        </w:rPr>
        <w:t xml:space="preserve">of transmission </w:t>
      </w:r>
      <w:r w:rsidR="000E6773">
        <w:rPr>
          <w:rFonts w:ascii="Arial" w:hAnsi="Arial" w:cs="Arial"/>
          <w:sz w:val="20"/>
          <w:szCs w:val="20"/>
        </w:rPr>
        <w:t>contributing to the</w:t>
      </w:r>
      <w:r w:rsidR="00D21BB9">
        <w:rPr>
          <w:rFonts w:ascii="Arial" w:hAnsi="Arial" w:cs="Arial"/>
          <w:sz w:val="20"/>
          <w:szCs w:val="20"/>
        </w:rPr>
        <w:t xml:space="preserve"> burden</w:t>
      </w:r>
      <w:r w:rsidR="000E6773">
        <w:rPr>
          <w:rFonts w:ascii="Arial" w:hAnsi="Arial" w:cs="Arial"/>
          <w:sz w:val="20"/>
          <w:szCs w:val="20"/>
        </w:rPr>
        <w:t>,</w:t>
      </w:r>
      <w:r w:rsidR="00D21BB9">
        <w:rPr>
          <w:rFonts w:ascii="Arial" w:hAnsi="Arial" w:cs="Arial"/>
          <w:sz w:val="20"/>
          <w:szCs w:val="20"/>
        </w:rPr>
        <w:t xml:space="preserve"> heterogeneous control in the hospital systems, </w:t>
      </w:r>
      <w:r w:rsidR="00D756A7">
        <w:rPr>
          <w:rFonts w:ascii="Arial" w:hAnsi="Arial" w:cs="Arial"/>
          <w:sz w:val="20"/>
          <w:szCs w:val="20"/>
        </w:rPr>
        <w:t>imperfect observation of carriage and</w:t>
      </w:r>
      <w:r w:rsidR="00D61493">
        <w:rPr>
          <w:rFonts w:ascii="Arial" w:hAnsi="Arial" w:cs="Arial"/>
          <w:sz w:val="20"/>
          <w:szCs w:val="20"/>
        </w:rPr>
        <w:t xml:space="preserve"> i</w:t>
      </w:r>
      <w:r w:rsidR="00D756A7">
        <w:rPr>
          <w:rFonts w:ascii="Arial" w:hAnsi="Arial" w:cs="Arial"/>
          <w:sz w:val="20"/>
          <w:szCs w:val="20"/>
        </w:rPr>
        <w:t>nfection</w:t>
      </w:r>
      <w:r w:rsidR="0064354D">
        <w:rPr>
          <w:rFonts w:ascii="Arial" w:hAnsi="Arial" w:cs="Arial"/>
          <w:sz w:val="20"/>
          <w:szCs w:val="20"/>
        </w:rPr>
        <w:t xml:space="preserve"> resulting in sparse data</w:t>
      </w:r>
      <w:r w:rsidR="00D756A7">
        <w:rPr>
          <w:rFonts w:ascii="Arial" w:hAnsi="Arial" w:cs="Arial"/>
          <w:sz w:val="20"/>
          <w:szCs w:val="20"/>
        </w:rPr>
        <w:t xml:space="preserve">. Despite these difficulties, recent work </w:t>
      </w:r>
      <w:r w:rsidR="005B441B">
        <w:rPr>
          <w:rFonts w:ascii="Arial" w:hAnsi="Arial" w:cs="Arial"/>
          <w:sz w:val="20"/>
          <w:szCs w:val="20"/>
        </w:rPr>
        <w:t>suggests</w:t>
      </w:r>
      <w:r w:rsidR="00D756A7">
        <w:rPr>
          <w:rFonts w:ascii="Arial" w:hAnsi="Arial" w:cs="Arial"/>
          <w:sz w:val="20"/>
          <w:szCs w:val="20"/>
        </w:rPr>
        <w:t xml:space="preserve"> patient traffic </w:t>
      </w:r>
      <w:r w:rsidR="005B441B">
        <w:rPr>
          <w:rFonts w:ascii="Arial" w:hAnsi="Arial" w:cs="Arial"/>
          <w:sz w:val="20"/>
          <w:szCs w:val="20"/>
        </w:rPr>
        <w:t>determines</w:t>
      </w:r>
      <w:r w:rsidR="00D756A7">
        <w:rPr>
          <w:rFonts w:ascii="Arial" w:hAnsi="Arial" w:cs="Arial"/>
          <w:sz w:val="20"/>
          <w:szCs w:val="20"/>
        </w:rPr>
        <w:t xml:space="preserve"> nosocomial transmission, suggesting that bacterial pathogens have similar levels of transmission as well as possible similar modes</w:t>
      </w:r>
      <w:r w:rsidR="000071C4">
        <w:rPr>
          <w:rFonts w:ascii="Arial" w:hAnsi="Arial" w:cs="Arial"/>
          <w:sz w:val="20"/>
          <w:szCs w:val="20"/>
        </w:rPr>
        <w:t>.</w:t>
      </w:r>
    </w:p>
    <w:p w14:paraId="61E8C5C9" w14:textId="794C7B96" w:rsidR="000C223A" w:rsidRDefault="00726D42" w:rsidP="008631B0">
      <w:pPr>
        <w:spacing w:line="360" w:lineRule="auto"/>
        <w:jc w:val="both"/>
        <w:rPr>
          <w:rFonts w:ascii="Arial" w:hAnsi="Arial" w:cs="Arial"/>
          <w:sz w:val="20"/>
          <w:szCs w:val="20"/>
        </w:rPr>
      </w:pPr>
      <w:r>
        <w:rPr>
          <w:rFonts w:ascii="Arial" w:hAnsi="Arial" w:cs="Arial"/>
          <w:sz w:val="20"/>
          <w:szCs w:val="20"/>
        </w:rPr>
        <w:t xml:space="preserve">Nosocomial transmission is thought </w:t>
      </w:r>
      <w:r w:rsidR="009276F7">
        <w:rPr>
          <w:rFonts w:ascii="Arial" w:hAnsi="Arial" w:cs="Arial"/>
          <w:sz w:val="20"/>
          <w:szCs w:val="20"/>
        </w:rPr>
        <w:t xml:space="preserve">to be </w:t>
      </w:r>
      <w:r w:rsidR="00F62206">
        <w:rPr>
          <w:rFonts w:ascii="Arial" w:hAnsi="Arial" w:cs="Arial"/>
          <w:sz w:val="20"/>
          <w:szCs w:val="20"/>
        </w:rPr>
        <w:t xml:space="preserve">a contribution of </w:t>
      </w:r>
      <w:r>
        <w:rPr>
          <w:rFonts w:ascii="Arial" w:hAnsi="Arial" w:cs="Arial"/>
          <w:sz w:val="20"/>
          <w:szCs w:val="20"/>
        </w:rPr>
        <w:t>patient-to-patient, environmental, and health-care-workers associated transmission</w:t>
      </w:r>
      <w:r w:rsidR="001243F8">
        <w:rPr>
          <w:rFonts w:ascii="Arial" w:hAnsi="Arial" w:cs="Arial"/>
          <w:sz w:val="20"/>
          <w:szCs w:val="20"/>
        </w:rPr>
        <w:t>.</w:t>
      </w:r>
      <w:r w:rsidR="00C84B5E">
        <w:rPr>
          <w:rFonts w:ascii="Arial" w:hAnsi="Arial" w:cs="Arial"/>
          <w:sz w:val="20"/>
          <w:szCs w:val="20"/>
        </w:rPr>
        <w:t xml:space="preserve"> </w:t>
      </w:r>
      <w:r w:rsidR="009276F7">
        <w:rPr>
          <w:rFonts w:ascii="Arial" w:hAnsi="Arial" w:cs="Arial"/>
          <w:sz w:val="20"/>
          <w:szCs w:val="20"/>
        </w:rPr>
        <w:t>This study compares</w:t>
      </w:r>
      <w:r w:rsidR="00C84B5E">
        <w:rPr>
          <w:rFonts w:ascii="Arial" w:hAnsi="Arial" w:cs="Arial"/>
          <w:sz w:val="20"/>
          <w:szCs w:val="20"/>
        </w:rPr>
        <w:t xml:space="preserve"> </w:t>
      </w:r>
      <w:r w:rsidR="001D1BEC">
        <w:rPr>
          <w:rFonts w:ascii="Arial" w:hAnsi="Arial" w:cs="Arial"/>
          <w:sz w:val="20"/>
          <w:szCs w:val="20"/>
        </w:rPr>
        <w:t xml:space="preserve">different approaches to model </w:t>
      </w:r>
      <w:r w:rsidR="009276F7">
        <w:rPr>
          <w:rFonts w:ascii="Arial" w:hAnsi="Arial" w:cs="Arial"/>
          <w:sz w:val="20"/>
          <w:szCs w:val="20"/>
        </w:rPr>
        <w:t>patient-to-patient and environmental transmission dynamics</w:t>
      </w:r>
      <w:r w:rsidR="001D1BEC">
        <w:rPr>
          <w:rFonts w:ascii="Arial" w:hAnsi="Arial" w:cs="Arial"/>
          <w:sz w:val="20"/>
          <w:szCs w:val="20"/>
        </w:rPr>
        <w:t>. We consider first a model which tracks the environmental force of infection</w:t>
      </w:r>
      <w:r w:rsidR="009276F7">
        <w:rPr>
          <w:rFonts w:ascii="Arial" w:hAnsi="Arial" w:cs="Arial"/>
          <w:sz w:val="20"/>
          <w:szCs w:val="20"/>
        </w:rPr>
        <w:t>,</w:t>
      </w:r>
      <w:r w:rsidR="002C7DE0">
        <w:rPr>
          <w:rFonts w:ascii="Arial" w:hAnsi="Arial" w:cs="Arial"/>
          <w:sz w:val="20"/>
          <w:szCs w:val="20"/>
        </w:rPr>
        <w:t xml:space="preserve"> assuming carriers are shedding bacteria at a constant rate to the environment, increasing the numbers of bacteria </w:t>
      </w:r>
      <w:r w:rsidR="004C0C41">
        <w:rPr>
          <w:rFonts w:ascii="Arial" w:hAnsi="Arial" w:cs="Arial"/>
          <w:sz w:val="20"/>
          <w:szCs w:val="20"/>
        </w:rPr>
        <w:t>on</w:t>
      </w:r>
      <w:r w:rsidR="002C7DE0">
        <w:rPr>
          <w:rFonts w:ascii="Arial" w:hAnsi="Arial" w:cs="Arial"/>
          <w:sz w:val="20"/>
          <w:szCs w:val="20"/>
        </w:rPr>
        <w:t xml:space="preserve"> surfaces, and thus increasing the force of infection.</w:t>
      </w:r>
      <w:r w:rsidR="00043628">
        <w:rPr>
          <w:rFonts w:ascii="Arial" w:hAnsi="Arial" w:cs="Arial"/>
          <w:sz w:val="20"/>
          <w:szCs w:val="20"/>
        </w:rPr>
        <w:t xml:space="preserve"> This environmental force of infection is also cleared </w:t>
      </w:r>
      <w:r w:rsidR="00AC6C3A">
        <w:rPr>
          <w:rFonts w:ascii="Arial" w:hAnsi="Arial" w:cs="Arial"/>
          <w:sz w:val="20"/>
          <w:szCs w:val="20"/>
        </w:rPr>
        <w:t>constantly,</w:t>
      </w:r>
      <w:r w:rsidR="00043628">
        <w:rPr>
          <w:rFonts w:ascii="Arial" w:hAnsi="Arial" w:cs="Arial"/>
          <w:sz w:val="20"/>
          <w:szCs w:val="20"/>
        </w:rPr>
        <w:t xml:space="preserve"> reflecting </w:t>
      </w:r>
      <w:r w:rsidR="000C15CD">
        <w:rPr>
          <w:rFonts w:ascii="Arial" w:hAnsi="Arial" w:cs="Arial"/>
          <w:sz w:val="20"/>
          <w:szCs w:val="20"/>
        </w:rPr>
        <w:t xml:space="preserve">the </w:t>
      </w:r>
      <w:r w:rsidR="00043628">
        <w:rPr>
          <w:rFonts w:ascii="Arial" w:hAnsi="Arial" w:cs="Arial"/>
          <w:sz w:val="20"/>
          <w:szCs w:val="20"/>
        </w:rPr>
        <w:t>cleaning of sur</w:t>
      </w:r>
      <w:r w:rsidR="000D101F">
        <w:rPr>
          <w:rFonts w:ascii="Arial" w:hAnsi="Arial" w:cs="Arial"/>
          <w:sz w:val="20"/>
          <w:szCs w:val="20"/>
        </w:rPr>
        <w:t>f</w:t>
      </w:r>
      <w:r w:rsidR="00043628">
        <w:rPr>
          <w:rFonts w:ascii="Arial" w:hAnsi="Arial" w:cs="Arial"/>
          <w:sz w:val="20"/>
          <w:szCs w:val="20"/>
        </w:rPr>
        <w:t xml:space="preserve">aces in the hospital setting. </w:t>
      </w:r>
      <w:r w:rsidR="0032688A">
        <w:rPr>
          <w:rFonts w:ascii="Arial" w:hAnsi="Arial" w:cs="Arial"/>
          <w:sz w:val="20"/>
          <w:szCs w:val="20"/>
        </w:rPr>
        <w:t>Second, a more specified model would require explicit modeling of the bacterial communities in the environment</w:t>
      </w:r>
      <w:r w:rsidR="00E63432">
        <w:rPr>
          <w:rFonts w:ascii="Arial" w:hAnsi="Arial" w:cs="Arial"/>
          <w:sz w:val="20"/>
          <w:szCs w:val="20"/>
        </w:rPr>
        <w:t>. We simulate bacterium populations</w:t>
      </w:r>
      <w:r w:rsidR="0032688A">
        <w:rPr>
          <w:rFonts w:ascii="Arial" w:hAnsi="Arial" w:cs="Arial"/>
          <w:sz w:val="20"/>
          <w:szCs w:val="20"/>
        </w:rPr>
        <w:t xml:space="preserve"> us</w:t>
      </w:r>
      <w:r w:rsidR="00E63432">
        <w:rPr>
          <w:rFonts w:ascii="Arial" w:hAnsi="Arial" w:cs="Arial"/>
          <w:sz w:val="20"/>
          <w:szCs w:val="20"/>
        </w:rPr>
        <w:t>ing</w:t>
      </w:r>
      <w:r w:rsidR="0032688A">
        <w:rPr>
          <w:rFonts w:ascii="Arial" w:hAnsi="Arial" w:cs="Arial"/>
          <w:sz w:val="20"/>
          <w:szCs w:val="20"/>
        </w:rPr>
        <w:t xml:space="preserve"> a logistic growth to model a community of </w:t>
      </w:r>
      <w:r w:rsidR="000071C4">
        <w:rPr>
          <w:rFonts w:ascii="Arial" w:hAnsi="Arial" w:cs="Arial"/>
          <w:sz w:val="20"/>
          <w:szCs w:val="20"/>
        </w:rPr>
        <w:t xml:space="preserve">a </w:t>
      </w:r>
      <w:r w:rsidR="0032688A">
        <w:rPr>
          <w:rFonts w:ascii="Arial" w:hAnsi="Arial" w:cs="Arial"/>
          <w:sz w:val="20"/>
          <w:szCs w:val="20"/>
        </w:rPr>
        <w:t>bacteri</w:t>
      </w:r>
      <w:r w:rsidR="000071C4">
        <w:rPr>
          <w:rFonts w:ascii="Arial" w:hAnsi="Arial" w:cs="Arial"/>
          <w:sz w:val="20"/>
          <w:szCs w:val="20"/>
        </w:rPr>
        <w:t>um</w:t>
      </w:r>
      <w:r w:rsidR="0032688A">
        <w:rPr>
          <w:rFonts w:ascii="Arial" w:hAnsi="Arial" w:cs="Arial"/>
          <w:sz w:val="20"/>
          <w:szCs w:val="20"/>
        </w:rPr>
        <w:t xml:space="preserve"> in hospital surfaces. Third, </w:t>
      </w:r>
      <w:r w:rsidR="009276F7">
        <w:rPr>
          <w:rFonts w:ascii="Arial" w:hAnsi="Arial" w:cs="Arial"/>
          <w:sz w:val="20"/>
          <w:szCs w:val="20"/>
        </w:rPr>
        <w:t xml:space="preserve">bacteria </w:t>
      </w:r>
      <w:r w:rsidR="0032688A">
        <w:rPr>
          <w:rFonts w:ascii="Arial" w:hAnsi="Arial" w:cs="Arial"/>
          <w:sz w:val="20"/>
          <w:szCs w:val="20"/>
        </w:rPr>
        <w:t xml:space="preserve">live in multispecies communities </w:t>
      </w:r>
      <w:r w:rsidR="009276F7">
        <w:rPr>
          <w:rFonts w:ascii="Arial" w:hAnsi="Arial" w:cs="Arial"/>
          <w:sz w:val="20"/>
          <w:szCs w:val="20"/>
        </w:rPr>
        <w:t>on</w:t>
      </w:r>
      <w:r w:rsidR="0032688A">
        <w:rPr>
          <w:rFonts w:ascii="Arial" w:hAnsi="Arial" w:cs="Arial"/>
          <w:sz w:val="20"/>
          <w:szCs w:val="20"/>
        </w:rPr>
        <w:t xml:space="preserve"> </w:t>
      </w:r>
      <w:r w:rsidR="005F1DF6">
        <w:rPr>
          <w:rFonts w:ascii="Arial" w:hAnsi="Arial" w:cs="Arial"/>
          <w:sz w:val="20"/>
          <w:szCs w:val="20"/>
        </w:rPr>
        <w:t>hospital surfaces</w:t>
      </w:r>
      <w:r w:rsidR="0032688A">
        <w:rPr>
          <w:rFonts w:ascii="Arial" w:hAnsi="Arial" w:cs="Arial"/>
          <w:sz w:val="20"/>
          <w:szCs w:val="20"/>
        </w:rPr>
        <w:t xml:space="preserve">. </w:t>
      </w:r>
      <w:r w:rsidR="009276F7">
        <w:rPr>
          <w:rFonts w:ascii="Arial" w:hAnsi="Arial" w:cs="Arial"/>
          <w:sz w:val="20"/>
          <w:szCs w:val="20"/>
        </w:rPr>
        <w:t>Consequently</w:t>
      </w:r>
      <w:r w:rsidR="00A6276C">
        <w:rPr>
          <w:rFonts w:ascii="Arial" w:hAnsi="Arial" w:cs="Arial"/>
          <w:sz w:val="20"/>
          <w:szCs w:val="20"/>
        </w:rPr>
        <w:t>,</w:t>
      </w:r>
      <w:r w:rsidR="0032688A">
        <w:rPr>
          <w:rFonts w:ascii="Arial" w:hAnsi="Arial" w:cs="Arial"/>
          <w:sz w:val="20"/>
          <w:szCs w:val="20"/>
        </w:rPr>
        <w:t xml:space="preserve"> we design a </w:t>
      </w:r>
      <w:r w:rsidR="008631B0">
        <w:rPr>
          <w:rFonts w:ascii="Arial" w:hAnsi="Arial" w:cs="Arial"/>
          <w:sz w:val="20"/>
          <w:szCs w:val="20"/>
        </w:rPr>
        <w:t xml:space="preserve">dynamic model that </w:t>
      </w:r>
      <w:r w:rsidR="00D87711">
        <w:rPr>
          <w:rFonts w:ascii="Arial" w:hAnsi="Arial" w:cs="Arial"/>
          <w:sz w:val="20"/>
          <w:szCs w:val="20"/>
        </w:rPr>
        <w:t>explicitly</w:t>
      </w:r>
      <w:r w:rsidR="008631B0">
        <w:rPr>
          <w:rFonts w:ascii="Arial" w:hAnsi="Arial" w:cs="Arial"/>
          <w:sz w:val="20"/>
          <w:szCs w:val="20"/>
        </w:rPr>
        <w:t xml:space="preserve"> </w:t>
      </w:r>
      <w:r w:rsidR="00D809DC">
        <w:rPr>
          <w:rFonts w:ascii="Arial" w:hAnsi="Arial" w:cs="Arial"/>
          <w:sz w:val="20"/>
          <w:szCs w:val="20"/>
        </w:rPr>
        <w:t>includes</w:t>
      </w:r>
      <w:r w:rsidR="008631B0">
        <w:rPr>
          <w:rFonts w:ascii="Arial" w:hAnsi="Arial" w:cs="Arial"/>
          <w:sz w:val="20"/>
          <w:szCs w:val="20"/>
        </w:rPr>
        <w:t xml:space="preserve"> </w:t>
      </w:r>
      <w:r w:rsidR="00A20A54">
        <w:rPr>
          <w:rFonts w:ascii="Arial" w:hAnsi="Arial" w:cs="Arial"/>
          <w:sz w:val="20"/>
          <w:szCs w:val="20"/>
        </w:rPr>
        <w:t xml:space="preserve">these </w:t>
      </w:r>
      <w:r w:rsidR="009A7FAD">
        <w:rPr>
          <w:rFonts w:ascii="Arial" w:hAnsi="Arial" w:cs="Arial"/>
          <w:sz w:val="20"/>
          <w:szCs w:val="20"/>
        </w:rPr>
        <w:t>multispecies</w:t>
      </w:r>
      <w:r w:rsidR="00A20A54">
        <w:rPr>
          <w:rFonts w:ascii="Arial" w:hAnsi="Arial" w:cs="Arial"/>
          <w:sz w:val="20"/>
          <w:szCs w:val="20"/>
        </w:rPr>
        <w:t xml:space="preserve"> communities</w:t>
      </w:r>
      <w:r w:rsidR="008631B0">
        <w:rPr>
          <w:rFonts w:ascii="Arial" w:hAnsi="Arial" w:cs="Arial"/>
          <w:sz w:val="20"/>
          <w:szCs w:val="20"/>
        </w:rPr>
        <w:t xml:space="preserve"> </w:t>
      </w:r>
      <w:r w:rsidR="008A1534">
        <w:rPr>
          <w:rFonts w:ascii="Arial" w:hAnsi="Arial" w:cs="Arial"/>
          <w:sz w:val="20"/>
          <w:szCs w:val="20"/>
        </w:rPr>
        <w:t>co-existence</w:t>
      </w:r>
      <w:r w:rsidR="00EE6828">
        <w:rPr>
          <w:rFonts w:ascii="Arial" w:hAnsi="Arial" w:cs="Arial"/>
          <w:sz w:val="20"/>
          <w:szCs w:val="20"/>
        </w:rPr>
        <w:t>.</w:t>
      </w:r>
      <w:r w:rsidR="005D6DD6">
        <w:rPr>
          <w:rFonts w:ascii="Arial" w:hAnsi="Arial" w:cs="Arial"/>
          <w:sz w:val="20"/>
          <w:szCs w:val="20"/>
        </w:rPr>
        <w:t xml:space="preserve"> At last</w:t>
      </w:r>
      <w:r w:rsidR="008D6DF6">
        <w:rPr>
          <w:rFonts w:ascii="Arial" w:hAnsi="Arial" w:cs="Arial"/>
          <w:sz w:val="20"/>
          <w:szCs w:val="20"/>
        </w:rPr>
        <w:t>,</w:t>
      </w:r>
      <w:r w:rsidR="005D6DD6">
        <w:rPr>
          <w:rFonts w:ascii="Arial" w:hAnsi="Arial" w:cs="Arial"/>
          <w:sz w:val="20"/>
          <w:szCs w:val="20"/>
        </w:rPr>
        <w:t xml:space="preserve"> we compared the transmission dynamics, i.e.</w:t>
      </w:r>
      <w:r w:rsidR="009276F7">
        <w:rPr>
          <w:rFonts w:ascii="Arial" w:hAnsi="Arial" w:cs="Arial"/>
          <w:sz w:val="20"/>
          <w:szCs w:val="20"/>
        </w:rPr>
        <w:t>,</w:t>
      </w:r>
      <w:r w:rsidR="005D6DD6">
        <w:rPr>
          <w:rFonts w:ascii="Arial" w:hAnsi="Arial" w:cs="Arial"/>
          <w:sz w:val="20"/>
          <w:szCs w:val="20"/>
        </w:rPr>
        <w:t xml:space="preserve"> the hospital prevalence </w:t>
      </w:r>
      <w:r w:rsidR="00995C94">
        <w:rPr>
          <w:rFonts w:ascii="Arial" w:hAnsi="Arial" w:cs="Arial"/>
          <w:sz w:val="20"/>
          <w:szCs w:val="20"/>
        </w:rPr>
        <w:t>and</w:t>
      </w:r>
      <w:r w:rsidR="005D6DD6">
        <w:rPr>
          <w:rFonts w:ascii="Arial" w:hAnsi="Arial" w:cs="Arial"/>
          <w:sz w:val="20"/>
          <w:szCs w:val="20"/>
        </w:rPr>
        <w:t xml:space="preserve"> trade-off between the patient-to-patient and environmental transmission rates in the different models.</w:t>
      </w:r>
    </w:p>
    <w:p w14:paraId="502F137D" w14:textId="390B7E59" w:rsidR="00006658" w:rsidRPr="000D101F" w:rsidRDefault="0013667D" w:rsidP="000D101F">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lastRenderedPageBreak/>
        <w:t>Models of nosocomial transmission</w:t>
      </w:r>
      <w:r w:rsidR="00006658" w:rsidRPr="00006658">
        <w:t xml:space="preserve"> </w:t>
      </w:r>
      <w:r w:rsidR="00006658" w:rsidRPr="00006658">
        <w:rPr>
          <w:rFonts w:ascii="Arial" w:hAnsi="Arial" w:cs="Arial"/>
          <w:b/>
          <w:color w:val="000000"/>
          <w:sz w:val="20"/>
          <w:szCs w:val="20"/>
        </w:rPr>
        <w:t>duet</w:t>
      </w:r>
      <w:r w:rsidR="00006658">
        <w:rPr>
          <w:rFonts w:ascii="Arial" w:hAnsi="Arial" w:cs="Arial"/>
          <w:b/>
          <w:color w:val="000000"/>
          <w:sz w:val="20"/>
          <w:szCs w:val="20"/>
        </w:rPr>
        <w:t xml:space="preserve"> </w:t>
      </w:r>
      <w:r w:rsidR="00006658" w:rsidRPr="00006658">
        <w:rPr>
          <w:rFonts w:ascii="Arial" w:hAnsi="Arial" w:cs="Arial"/>
          <w:b/>
          <w:color w:val="000000"/>
          <w:sz w:val="20"/>
          <w:szCs w:val="20"/>
        </w:rPr>
        <w:t>o person-to-person contact</w:t>
      </w:r>
      <w:r w:rsidR="00006658">
        <w:rPr>
          <w:rFonts w:ascii="Arial" w:hAnsi="Arial" w:cs="Arial"/>
          <w:b/>
          <w:color w:val="000000"/>
          <w:sz w:val="20"/>
          <w:szCs w:val="20"/>
        </w:rPr>
        <w:t xml:space="preserve"> and</w:t>
      </w:r>
      <w:r w:rsidR="00006658" w:rsidRPr="00006658">
        <w:rPr>
          <w:rFonts w:ascii="Arial" w:hAnsi="Arial" w:cs="Arial"/>
          <w:b/>
          <w:color w:val="000000"/>
          <w:sz w:val="20"/>
          <w:szCs w:val="20"/>
        </w:rPr>
        <w:t xml:space="preserve"> environmental </w:t>
      </w:r>
      <w:r w:rsidR="00006658">
        <w:rPr>
          <w:rFonts w:ascii="Arial" w:hAnsi="Arial" w:cs="Arial"/>
          <w:b/>
          <w:color w:val="000000"/>
          <w:sz w:val="20"/>
          <w:szCs w:val="20"/>
        </w:rPr>
        <w:t>reservoirs</w:t>
      </w:r>
    </w:p>
    <w:p w14:paraId="672C2236" w14:textId="3ACE4FBB" w:rsidR="00980C22" w:rsidRDefault="001670D3"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sz w:val="20"/>
          <w:szCs w:val="20"/>
        </w:rPr>
        <w:t>asdads</w:t>
      </w:r>
    </w:p>
    <w:p w14:paraId="23296EE6" w14:textId="77777777" w:rsidR="00980C22" w:rsidRDefault="00980C2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538688E5" w14:textId="77777777" w:rsidR="005E4095" w:rsidRDefault="00E6133D"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Results</w:t>
      </w:r>
      <w:bookmarkStart w:id="3" w:name="_Hlk120132095"/>
    </w:p>
    <w:p w14:paraId="0F9DCA8E" w14:textId="2467E7C0" w:rsidR="005E4095" w:rsidRPr="00496FEB" w:rsidRDefault="005E4095" w:rsidP="008631B0">
      <w:pPr>
        <w:pStyle w:val="Heading3"/>
        <w:spacing w:line="360" w:lineRule="auto"/>
        <w:jc w:val="both"/>
        <w:rPr>
          <w:i/>
          <w:iCs/>
          <w:sz w:val="20"/>
          <w:szCs w:val="20"/>
          <w:lang w:val="en-US"/>
        </w:rPr>
      </w:pPr>
      <w:r w:rsidRPr="00496FEB">
        <w:rPr>
          <w:i/>
          <w:iCs/>
          <w:sz w:val="20"/>
          <w:szCs w:val="20"/>
          <w:lang w:val="en-US"/>
        </w:rPr>
        <w:t xml:space="preserve">Empirical patterns and heterogeneity of </w:t>
      </w:r>
      <w:r w:rsidR="00CF77B0">
        <w:rPr>
          <w:i/>
          <w:iCs/>
          <w:sz w:val="20"/>
          <w:szCs w:val="20"/>
          <w:lang w:val="en-US"/>
        </w:rPr>
        <w:t>microorganism</w:t>
      </w:r>
      <w:r w:rsidR="00CF77B0" w:rsidRPr="00496FEB">
        <w:rPr>
          <w:i/>
          <w:iCs/>
          <w:sz w:val="20"/>
          <w:szCs w:val="20"/>
          <w:lang w:val="en-US"/>
        </w:rPr>
        <w:t xml:space="preserve"> </w:t>
      </w:r>
      <w:r w:rsidRPr="00496FEB">
        <w:rPr>
          <w:i/>
          <w:iCs/>
          <w:sz w:val="20"/>
          <w:szCs w:val="20"/>
          <w:lang w:val="en-US"/>
        </w:rPr>
        <w:t xml:space="preserve">burden  </w:t>
      </w:r>
    </w:p>
    <w:bookmarkEnd w:id="3"/>
    <w:p w14:paraId="51B319A4" w14:textId="77777777" w:rsidR="005E4095" w:rsidRPr="003234E4" w:rsidRDefault="005E4095" w:rsidP="008631B0">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7720DEB1" w14:textId="77777777" w:rsidR="005E4095" w:rsidRPr="003234E4" w:rsidRDefault="005E4095" w:rsidP="008631B0">
      <w:pPr>
        <w:pStyle w:val="Heading3"/>
        <w:spacing w:line="360" w:lineRule="auto"/>
        <w:jc w:val="both"/>
        <w:rPr>
          <w:i/>
          <w:iCs/>
          <w:sz w:val="20"/>
          <w:szCs w:val="20"/>
          <w:lang w:val="en-US"/>
        </w:rPr>
      </w:pPr>
      <w:r w:rsidRPr="003234E4">
        <w:rPr>
          <w:i/>
          <w:iCs/>
          <w:sz w:val="20"/>
          <w:szCs w:val="20"/>
          <w:lang w:val="en-US"/>
        </w:rPr>
        <w:t>Inference using real data</w:t>
      </w:r>
    </w:p>
    <w:p w14:paraId="01785B12" w14:textId="77777777" w:rsidR="00980C22" w:rsidRPr="00F649EE" w:rsidRDefault="00980C2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14A7FBC" w14:textId="6180E063" w:rsidR="00E6133D" w:rsidRPr="00F649EE" w:rsidRDefault="00474D11" w:rsidP="008631B0">
      <w:pPr>
        <w:pBdr>
          <w:top w:val="nil"/>
          <w:left w:val="nil"/>
          <w:bottom w:val="nil"/>
          <w:right w:val="nil"/>
          <w:between w:val="nil"/>
        </w:pBdr>
        <w:spacing w:line="360" w:lineRule="auto"/>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8631B0">
      <w:pPr>
        <w:pBdr>
          <w:top w:val="nil"/>
          <w:left w:val="nil"/>
          <w:bottom w:val="nil"/>
          <w:right w:val="nil"/>
          <w:between w:val="nil"/>
        </w:pBdr>
        <w:spacing w:after="0" w:line="360" w:lineRule="auto"/>
        <w:contextualSpacing/>
        <w:rPr>
          <w:rFonts w:ascii="Arial" w:hAnsi="Arial" w:cs="Arial"/>
          <w:color w:val="000000"/>
          <w:sz w:val="20"/>
          <w:szCs w:val="20"/>
        </w:rPr>
      </w:pPr>
    </w:p>
    <w:p w14:paraId="7550C69C" w14:textId="77777777" w:rsidR="00E6133D" w:rsidRDefault="00E6133D" w:rsidP="008631B0">
      <w:pPr>
        <w:pBdr>
          <w:top w:val="nil"/>
          <w:left w:val="nil"/>
          <w:bottom w:val="nil"/>
          <w:right w:val="nil"/>
          <w:between w:val="nil"/>
        </w:pBdr>
        <w:spacing w:after="0" w:line="360" w:lineRule="auto"/>
        <w:contextualSpacing/>
        <w:rPr>
          <w:rFonts w:ascii="Arial" w:hAnsi="Arial" w:cs="Arial"/>
          <w:b/>
          <w:color w:val="000000"/>
          <w:sz w:val="20"/>
          <w:szCs w:val="20"/>
        </w:rPr>
      </w:pPr>
    </w:p>
    <w:p w14:paraId="36E04416" w14:textId="77777777" w:rsidR="00980C22" w:rsidRPr="00980C22" w:rsidRDefault="00980C22" w:rsidP="008631B0">
      <w:pPr>
        <w:pBdr>
          <w:top w:val="nil"/>
          <w:left w:val="nil"/>
          <w:bottom w:val="nil"/>
          <w:right w:val="nil"/>
          <w:between w:val="nil"/>
        </w:pBdr>
        <w:spacing w:after="0" w:line="360" w:lineRule="auto"/>
        <w:contextualSpacing/>
        <w:rPr>
          <w:rFonts w:ascii="Arial" w:hAnsi="Arial" w:cs="Arial"/>
          <w:b/>
          <w:color w:val="000000"/>
          <w:sz w:val="20"/>
          <w:szCs w:val="20"/>
        </w:rPr>
      </w:pPr>
    </w:p>
    <w:p w14:paraId="3C2712AB" w14:textId="61C17006" w:rsidR="00E6133D" w:rsidRPr="00F22241" w:rsidRDefault="00E6133D" w:rsidP="008631B0">
      <w:pPr>
        <w:pBdr>
          <w:top w:val="nil"/>
          <w:left w:val="nil"/>
          <w:bottom w:val="nil"/>
          <w:right w:val="nil"/>
          <w:between w:val="nil"/>
        </w:pBdr>
        <w:spacing w:after="0" w:line="360" w:lineRule="auto"/>
        <w:contextualSpacing/>
        <w:rPr>
          <w:rFonts w:ascii="Arial" w:hAnsi="Arial" w:cs="Arial"/>
          <w:color w:val="000000"/>
          <w:sz w:val="20"/>
          <w:szCs w:val="20"/>
        </w:rPr>
      </w:pPr>
      <w:r w:rsidRPr="00F649EE">
        <w:rPr>
          <w:rFonts w:ascii="Arial" w:hAnsi="Arial" w:cs="Arial"/>
          <w:b/>
          <w:color w:val="000000"/>
          <w:sz w:val="20"/>
          <w:szCs w:val="20"/>
        </w:rPr>
        <w:t>Materials and Methods</w:t>
      </w:r>
    </w:p>
    <w:p w14:paraId="5F7FE042" w14:textId="03CFBD2F" w:rsidR="00FE7BE0" w:rsidRPr="009C01B6" w:rsidRDefault="00F22241" w:rsidP="008631B0">
      <w:pPr>
        <w:pStyle w:val="Heading3"/>
        <w:spacing w:line="360" w:lineRule="auto"/>
        <w:jc w:val="both"/>
      </w:pPr>
      <w:r w:rsidRPr="003234E4">
        <w:rPr>
          <w:i/>
          <w:iCs/>
          <w:sz w:val="20"/>
          <w:szCs w:val="20"/>
          <w:lang w:val="en-US"/>
        </w:rPr>
        <w:t>Overview</w:t>
      </w:r>
    </w:p>
    <w:p w14:paraId="2400A4A0" w14:textId="4B24CA03" w:rsidR="00F22241" w:rsidRDefault="00F22241" w:rsidP="008631B0">
      <w:pPr>
        <w:keepNext/>
        <w:spacing w:line="360" w:lineRule="auto"/>
        <w:jc w:val="both"/>
        <w:rPr>
          <w:rFonts w:ascii="Arial" w:hAnsi="Arial" w:cs="Arial"/>
          <w:sz w:val="20"/>
          <w:szCs w:val="20"/>
        </w:rPr>
      </w:pPr>
      <w:r>
        <w:rPr>
          <w:rFonts w:ascii="Arial" w:hAnsi="Arial" w:cs="Arial"/>
          <w:sz w:val="20"/>
          <w:szCs w:val="20"/>
        </w:rPr>
        <w:t xml:space="preserve">To estimate key epidemiological characteristics of AMROs, we developed an ABM to simulate the dynamics of these organisms in hospital settings. The model was informed by patient hospitalization and culture data from electronic healthcare records collected between February 1 2020 and February 28 2021. We coupled the ABM with a Bayesian inference algorithm and, using simulated outbreaks, validated the ability of this ABM-inference system to identify importation and nosocomial transmission rates. We then assimilated the real-world lab-confirmed positive case data and estimated the importation and nosocomial transmission rates for eight co-circulating organisms. Using these estimated parameters and the ABM, we were able to reproduce the time </w:t>
      </w:r>
      <w:r>
        <w:rPr>
          <w:rFonts w:ascii="Arial" w:hAnsi="Arial" w:cs="Arial"/>
          <w:sz w:val="20"/>
          <w:szCs w:val="20"/>
        </w:rPr>
        <w:lastRenderedPageBreak/>
        <w:t>series of positive cases for six clusters of wards in the hospital system. The estimated importation rates and nosocomial transmission rates were compared for the eight organisms.</w:t>
      </w:r>
    </w:p>
    <w:p w14:paraId="73C76528"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Data</w:t>
      </w:r>
    </w:p>
    <w:p w14:paraId="5B94F133" w14:textId="2E4BFAB4" w:rsidR="00A44831" w:rsidRPr="00006B2A" w:rsidRDefault="00F22241" w:rsidP="00006B2A">
      <w:pPr>
        <w:pStyle w:val="Heading3"/>
        <w:spacing w:line="360" w:lineRule="auto"/>
        <w:jc w:val="both"/>
        <w:rPr>
          <w:i/>
          <w:iCs/>
          <w:sz w:val="20"/>
          <w:szCs w:val="20"/>
          <w:lang w:val="en-US"/>
        </w:rPr>
      </w:pPr>
      <w:r w:rsidRPr="003234E4">
        <w:rPr>
          <w:i/>
          <w:iCs/>
          <w:sz w:val="20"/>
          <w:szCs w:val="20"/>
          <w:lang w:val="en-US"/>
        </w:rPr>
        <w:t>The transmission models</w:t>
      </w:r>
      <w:r w:rsidR="00A44831">
        <w:rPr>
          <w:i/>
          <w:iCs/>
          <w:sz w:val="20"/>
          <w:szCs w:val="20"/>
          <w:lang w:val="en-US"/>
        </w:rPr>
        <w:t xml:space="preserve"> with environmental force of infection</w:t>
      </w:r>
    </w:p>
    <w:p w14:paraId="4257934C" w14:textId="4AB05A09"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Hospital-level Observational model</w:t>
      </w:r>
    </w:p>
    <w:p w14:paraId="7546D856"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Inference</w:t>
      </w:r>
    </w:p>
    <w:p w14:paraId="7210AC22"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641BE49E"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Inference using real-world data</w:t>
      </w:r>
    </w:p>
    <w:p w14:paraId="4EEAE8C9" w14:textId="77777777" w:rsidR="00980C22" w:rsidRPr="00980C22" w:rsidRDefault="00980C22" w:rsidP="008631B0">
      <w:pPr>
        <w:pBdr>
          <w:top w:val="nil"/>
          <w:left w:val="nil"/>
          <w:bottom w:val="nil"/>
          <w:right w:val="nil"/>
          <w:between w:val="nil"/>
        </w:pBdr>
        <w:spacing w:line="360" w:lineRule="auto"/>
        <w:contextualSpacing/>
        <w:rPr>
          <w:rFonts w:ascii="Arial" w:hAnsi="Arial" w:cs="Arial"/>
          <w:color w:val="000000"/>
          <w:sz w:val="20"/>
          <w:szCs w:val="20"/>
        </w:rPr>
      </w:pPr>
    </w:p>
    <w:p w14:paraId="24F14103" w14:textId="77777777" w:rsidR="00E6133D" w:rsidRPr="00980C22" w:rsidRDefault="00E6133D" w:rsidP="008631B0">
      <w:pPr>
        <w:pBdr>
          <w:top w:val="nil"/>
          <w:left w:val="nil"/>
          <w:bottom w:val="nil"/>
          <w:right w:val="nil"/>
          <w:between w:val="nil"/>
        </w:pBdr>
        <w:spacing w:line="360" w:lineRule="auto"/>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8631B0">
      <w:pPr>
        <w:pBdr>
          <w:top w:val="nil"/>
          <w:left w:val="nil"/>
          <w:bottom w:val="nil"/>
          <w:right w:val="nil"/>
          <w:between w:val="nil"/>
        </w:pBdr>
        <w:spacing w:line="360" w:lineRule="auto"/>
        <w:contextualSpacing/>
        <w:rPr>
          <w:rFonts w:ascii="Arial" w:hAnsi="Arial" w:cs="Arial"/>
          <w:b/>
          <w:color w:val="000000"/>
          <w:sz w:val="20"/>
          <w:szCs w:val="20"/>
        </w:rPr>
      </w:pPr>
    </w:p>
    <w:p w14:paraId="557C004D" w14:textId="196E7111" w:rsidR="00980C22" w:rsidRPr="00980C22" w:rsidRDefault="008D7B47" w:rsidP="008631B0">
      <w:pPr>
        <w:pBdr>
          <w:top w:val="nil"/>
          <w:left w:val="nil"/>
          <w:bottom w:val="nil"/>
          <w:right w:val="nil"/>
          <w:between w:val="nil"/>
        </w:pBdr>
        <w:spacing w:line="360" w:lineRule="auto"/>
        <w:contextualSpacing/>
        <w:rPr>
          <w:rFonts w:ascii="Arial" w:hAnsi="Arial" w:cs="Arial"/>
          <w:color w:val="000000"/>
          <w:sz w:val="20"/>
          <w:szCs w:val="20"/>
        </w:rPr>
      </w:pPr>
      <w:r w:rsidRPr="008D7B47">
        <w:rPr>
          <w:rFonts w:ascii="Arial" w:hAnsi="Arial" w:cs="Arial"/>
          <w:color w:val="000000"/>
          <w:sz w:val="20"/>
          <w:szCs w:val="20"/>
        </w:rPr>
        <w:t xml:space="preserve">This study was supported by funding from the Centers for Disease Control and Prevention U01CK000592 and 75D30122C14289. We thank Matteo Perini and the </w:t>
      </w:r>
      <w:r w:rsidR="000221F7">
        <w:rPr>
          <w:rFonts w:ascii="Arial" w:hAnsi="Arial" w:cs="Arial"/>
          <w:color w:val="000000"/>
          <w:sz w:val="20"/>
          <w:szCs w:val="20"/>
        </w:rPr>
        <w:t xml:space="preserve">CDC </w:t>
      </w:r>
      <w:r w:rsidR="000221F7" w:rsidRPr="000221F7">
        <w:rPr>
          <w:rFonts w:ascii="Arial" w:hAnsi="Arial" w:cs="Arial"/>
          <w:color w:val="000000"/>
          <w:sz w:val="20"/>
          <w:szCs w:val="20"/>
        </w:rPr>
        <w:t>Modeling Infectious Diseases in Healthcare Network (MInD – Healthcare)</w:t>
      </w:r>
      <w:r w:rsidRPr="008D7B47">
        <w:rPr>
          <w:rFonts w:ascii="Arial" w:hAnsi="Arial" w:cs="Arial"/>
          <w:color w:val="000000"/>
          <w:sz w:val="20"/>
          <w:szCs w:val="20"/>
        </w:rPr>
        <w:t xml:space="preserve"> for comments and discussions. We also thank Rami Yaari for partially reproducing the results.</w:t>
      </w:r>
    </w:p>
    <w:p w14:paraId="1124750D" w14:textId="77777777" w:rsidR="00E6133D" w:rsidRPr="00980C22"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p>
    <w:p w14:paraId="46426A40" w14:textId="54F534A4" w:rsidR="00E6133D" w:rsidRPr="00980C22"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References</w:t>
      </w:r>
    </w:p>
    <w:p w14:paraId="181F32C1" w14:textId="77777777" w:rsidR="00013879" w:rsidRPr="00013879" w:rsidRDefault="005E4095">
      <w:pPr>
        <w:pStyle w:val="Bibliography"/>
        <w:spacing w:line="360" w:lineRule="auto"/>
        <w:rPr>
          <w:rFonts w:ascii="Arial" w:hAnsi="Arial" w:cs="Arial"/>
          <w:sz w:val="20"/>
          <w:lang w:val="en-GB"/>
        </w:rPr>
        <w:pPrChange w:id="4" w:author="Cascante Vega, Jaime E." w:date="2023-05-11T12:03:00Z">
          <w:pPr>
            <w:pStyle w:val="Bibliography"/>
          </w:pPr>
        </w:pPrChange>
      </w:pPr>
      <w:r w:rsidRPr="00F22241">
        <w:rPr>
          <w:rFonts w:ascii="Arial" w:eastAsiaTheme="minorEastAsia" w:hAnsi="Arial" w:cs="Arial"/>
          <w:sz w:val="20"/>
          <w:szCs w:val="20"/>
          <w:lang w:eastAsia="zh-CN"/>
        </w:rPr>
        <w:fldChar w:fldCharType="begin"/>
      </w:r>
      <w:r w:rsidR="00013879">
        <w:rPr>
          <w:rFonts w:ascii="Arial" w:hAnsi="Arial" w:cs="Arial"/>
          <w:sz w:val="20"/>
          <w:szCs w:val="20"/>
        </w:rPr>
        <w:instrText xml:space="preserve"> ADDIN ZOTERO_BIBL {"uncited":[],"omitted":[],"custom":[]} CSL_BIBLIOGRAPHY </w:instrText>
      </w:r>
      <w:r w:rsidRPr="00F22241">
        <w:rPr>
          <w:rFonts w:ascii="Arial" w:eastAsiaTheme="minorEastAsia" w:hAnsi="Arial" w:cs="Arial"/>
          <w:sz w:val="20"/>
          <w:szCs w:val="20"/>
          <w:lang w:eastAsia="zh-CN"/>
        </w:rPr>
        <w:fldChar w:fldCharType="separate"/>
      </w:r>
      <w:r w:rsidR="00013879" w:rsidRPr="00013879">
        <w:rPr>
          <w:rFonts w:ascii="Arial" w:hAnsi="Arial" w:cs="Arial"/>
          <w:sz w:val="20"/>
          <w:lang w:val="en-GB"/>
        </w:rPr>
        <w:t>1.</w:t>
      </w:r>
      <w:r w:rsidR="00013879" w:rsidRPr="00013879">
        <w:rPr>
          <w:rFonts w:ascii="Arial" w:hAnsi="Arial" w:cs="Arial"/>
          <w:sz w:val="20"/>
          <w:lang w:val="en-GB"/>
        </w:rPr>
        <w:tab/>
        <w:t xml:space="preserve">de Kraker, M. E. A. &amp; Lipsitch, M. Burden of Antimicrobial Resistance: Compared to What? </w:t>
      </w:r>
      <w:r w:rsidR="00013879" w:rsidRPr="00013879">
        <w:rPr>
          <w:rFonts w:ascii="Arial" w:hAnsi="Arial" w:cs="Arial"/>
          <w:i/>
          <w:iCs/>
          <w:sz w:val="20"/>
          <w:lang w:val="en-GB"/>
        </w:rPr>
        <w:t>Epidemiologic Reviews</w:t>
      </w:r>
      <w:r w:rsidR="00013879" w:rsidRPr="00013879">
        <w:rPr>
          <w:rFonts w:ascii="Arial" w:hAnsi="Arial" w:cs="Arial"/>
          <w:sz w:val="20"/>
          <w:lang w:val="en-GB"/>
        </w:rPr>
        <w:t xml:space="preserve"> </w:t>
      </w:r>
      <w:r w:rsidR="00013879" w:rsidRPr="00013879">
        <w:rPr>
          <w:rFonts w:ascii="Arial" w:hAnsi="Arial" w:cs="Arial"/>
          <w:b/>
          <w:bCs/>
          <w:sz w:val="20"/>
          <w:lang w:val="en-GB"/>
        </w:rPr>
        <w:t>43</w:t>
      </w:r>
      <w:r w:rsidR="00013879" w:rsidRPr="00013879">
        <w:rPr>
          <w:rFonts w:ascii="Arial" w:hAnsi="Arial" w:cs="Arial"/>
          <w:sz w:val="20"/>
          <w:lang w:val="en-GB"/>
        </w:rPr>
        <w:t>, 53–64 (2022).</w:t>
      </w:r>
    </w:p>
    <w:p w14:paraId="7FEAD280" w14:textId="77777777" w:rsidR="00013879" w:rsidRPr="00013879" w:rsidRDefault="00013879">
      <w:pPr>
        <w:pStyle w:val="Bibliography"/>
        <w:spacing w:line="360" w:lineRule="auto"/>
        <w:rPr>
          <w:rFonts w:ascii="Arial" w:hAnsi="Arial" w:cs="Arial"/>
          <w:sz w:val="20"/>
          <w:lang w:val="en-GB"/>
        </w:rPr>
        <w:pPrChange w:id="5" w:author="Cascante Vega, Jaime E." w:date="2023-05-11T12:03:00Z">
          <w:pPr>
            <w:pStyle w:val="Bibliography"/>
          </w:pPr>
        </w:pPrChange>
      </w:pPr>
      <w:r w:rsidRPr="00013879">
        <w:rPr>
          <w:rFonts w:ascii="Arial" w:hAnsi="Arial" w:cs="Arial"/>
          <w:sz w:val="20"/>
          <w:lang w:val="en-GB"/>
        </w:rPr>
        <w:t>2.</w:t>
      </w:r>
      <w:r w:rsidRPr="00013879">
        <w:rPr>
          <w:rFonts w:ascii="Arial" w:hAnsi="Arial" w:cs="Arial"/>
          <w:sz w:val="20"/>
          <w:lang w:val="en-GB"/>
        </w:rPr>
        <w:tab/>
        <w:t xml:space="preserve">Murray, C. J. </w:t>
      </w:r>
      <w:r w:rsidRPr="00013879">
        <w:rPr>
          <w:rFonts w:ascii="Arial" w:hAnsi="Arial" w:cs="Arial"/>
          <w:i/>
          <w:iCs/>
          <w:sz w:val="20"/>
          <w:lang w:val="en-GB"/>
        </w:rPr>
        <w:t>et al.</w:t>
      </w:r>
      <w:r w:rsidRPr="00013879">
        <w:rPr>
          <w:rFonts w:ascii="Arial" w:hAnsi="Arial" w:cs="Arial"/>
          <w:sz w:val="20"/>
          <w:lang w:val="en-GB"/>
        </w:rPr>
        <w:t xml:space="preserve"> Global burden of bacterial antimicrobial resistance in 2019: a systematic analysis. </w:t>
      </w:r>
      <w:r w:rsidRPr="00013879">
        <w:rPr>
          <w:rFonts w:ascii="Arial" w:hAnsi="Arial" w:cs="Arial"/>
          <w:i/>
          <w:iCs/>
          <w:sz w:val="20"/>
          <w:lang w:val="en-GB"/>
        </w:rPr>
        <w:t>The Lancet</w:t>
      </w:r>
      <w:r w:rsidRPr="00013879">
        <w:rPr>
          <w:rFonts w:ascii="Arial" w:hAnsi="Arial" w:cs="Arial"/>
          <w:sz w:val="20"/>
          <w:lang w:val="en-GB"/>
        </w:rPr>
        <w:t xml:space="preserve"> </w:t>
      </w:r>
      <w:r w:rsidRPr="00013879">
        <w:rPr>
          <w:rFonts w:ascii="Arial" w:hAnsi="Arial" w:cs="Arial"/>
          <w:b/>
          <w:bCs/>
          <w:sz w:val="20"/>
          <w:lang w:val="en-GB"/>
        </w:rPr>
        <w:t>399</w:t>
      </w:r>
      <w:r w:rsidRPr="00013879">
        <w:rPr>
          <w:rFonts w:ascii="Arial" w:hAnsi="Arial" w:cs="Arial"/>
          <w:sz w:val="20"/>
          <w:lang w:val="en-GB"/>
        </w:rPr>
        <w:t>, 629–655 (2022).</w:t>
      </w:r>
    </w:p>
    <w:p w14:paraId="6E9A8823" w14:textId="77777777" w:rsidR="00013879" w:rsidRPr="00013879" w:rsidRDefault="00013879">
      <w:pPr>
        <w:pStyle w:val="Bibliography"/>
        <w:spacing w:line="360" w:lineRule="auto"/>
        <w:rPr>
          <w:rFonts w:ascii="Arial" w:hAnsi="Arial" w:cs="Arial"/>
          <w:sz w:val="20"/>
          <w:lang w:val="en-GB"/>
        </w:rPr>
        <w:pPrChange w:id="6" w:author="Cascante Vega, Jaime E." w:date="2023-05-11T12:03:00Z">
          <w:pPr>
            <w:pStyle w:val="Bibliography"/>
          </w:pPr>
        </w:pPrChange>
      </w:pPr>
      <w:r w:rsidRPr="00013879">
        <w:rPr>
          <w:rFonts w:ascii="Arial" w:hAnsi="Arial" w:cs="Arial"/>
          <w:sz w:val="20"/>
          <w:lang w:val="en-GB"/>
        </w:rPr>
        <w:t>3.</w:t>
      </w:r>
      <w:r w:rsidRPr="00013879">
        <w:rPr>
          <w:rFonts w:ascii="Arial" w:hAnsi="Arial" w:cs="Arial"/>
          <w:sz w:val="20"/>
          <w:lang w:val="en-GB"/>
        </w:rPr>
        <w:tab/>
        <w:t xml:space="preserve">Lehtinen, S. Co-colonisation and coexistence. </w:t>
      </w:r>
      <w:r w:rsidRPr="00013879">
        <w:rPr>
          <w:rFonts w:ascii="Arial" w:hAnsi="Arial" w:cs="Arial"/>
          <w:i/>
          <w:iCs/>
          <w:sz w:val="20"/>
          <w:lang w:val="en-GB"/>
        </w:rPr>
        <w:t>Nat Ecol Evol</w:t>
      </w:r>
      <w:r w:rsidRPr="00013879">
        <w:rPr>
          <w:rFonts w:ascii="Arial" w:hAnsi="Arial" w:cs="Arial"/>
          <w:sz w:val="20"/>
          <w:lang w:val="en-GB"/>
        </w:rPr>
        <w:t xml:space="preserve"> </w:t>
      </w:r>
      <w:r w:rsidRPr="00013879">
        <w:rPr>
          <w:rFonts w:ascii="Arial" w:hAnsi="Arial" w:cs="Arial"/>
          <w:b/>
          <w:bCs/>
          <w:sz w:val="20"/>
          <w:lang w:val="en-GB"/>
        </w:rPr>
        <w:t>3</w:t>
      </w:r>
      <w:r w:rsidRPr="00013879">
        <w:rPr>
          <w:rFonts w:ascii="Arial" w:hAnsi="Arial" w:cs="Arial"/>
          <w:sz w:val="20"/>
          <w:lang w:val="en-GB"/>
        </w:rPr>
        <w:t>, 334–335 (2019).</w:t>
      </w:r>
    </w:p>
    <w:p w14:paraId="3965887F" w14:textId="77777777" w:rsidR="00013879" w:rsidRPr="00013879" w:rsidRDefault="00013879">
      <w:pPr>
        <w:pStyle w:val="Bibliography"/>
        <w:spacing w:line="360" w:lineRule="auto"/>
        <w:rPr>
          <w:rFonts w:ascii="Arial" w:hAnsi="Arial" w:cs="Arial"/>
          <w:sz w:val="20"/>
          <w:lang w:val="en-GB"/>
        </w:rPr>
        <w:pPrChange w:id="7" w:author="Cascante Vega, Jaime E." w:date="2023-05-11T12:03:00Z">
          <w:pPr>
            <w:pStyle w:val="Bibliography"/>
          </w:pPr>
        </w:pPrChange>
      </w:pPr>
      <w:r w:rsidRPr="00013879">
        <w:rPr>
          <w:rFonts w:ascii="Arial" w:hAnsi="Arial" w:cs="Arial"/>
          <w:sz w:val="20"/>
          <w:lang w:val="en-GB"/>
        </w:rPr>
        <w:t>4.</w:t>
      </w:r>
      <w:r w:rsidRPr="00013879">
        <w:rPr>
          <w:rFonts w:ascii="Arial" w:hAnsi="Arial" w:cs="Arial"/>
          <w:sz w:val="20"/>
          <w:lang w:val="en-GB"/>
        </w:rPr>
        <w:tab/>
        <w:t xml:space="preserve">Pham, T. M., Kretzschmar, M., Bertrand, X., Bootsma, M., &amp; on behalf of COMBACTE-MAGNET Consortium. Tracking Pseudomonas aeruginosa transmissions due to environmental contamination after discharge in ICUs using mathematical models.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15</w:t>
      </w:r>
      <w:r w:rsidRPr="00013879">
        <w:rPr>
          <w:rFonts w:ascii="Arial" w:hAnsi="Arial" w:cs="Arial"/>
          <w:sz w:val="20"/>
          <w:lang w:val="en-GB"/>
        </w:rPr>
        <w:t>, e1006697 (2019).</w:t>
      </w:r>
    </w:p>
    <w:p w14:paraId="07324BA1" w14:textId="77777777" w:rsidR="00013879" w:rsidRPr="00013879" w:rsidRDefault="00013879">
      <w:pPr>
        <w:pStyle w:val="Bibliography"/>
        <w:spacing w:line="360" w:lineRule="auto"/>
        <w:rPr>
          <w:rFonts w:ascii="Arial" w:hAnsi="Arial" w:cs="Arial"/>
          <w:sz w:val="20"/>
          <w:lang w:val="en-GB"/>
        </w:rPr>
        <w:pPrChange w:id="8" w:author="Cascante Vega, Jaime E." w:date="2023-05-11T12:03:00Z">
          <w:pPr>
            <w:pStyle w:val="Bibliography"/>
          </w:pPr>
        </w:pPrChange>
      </w:pPr>
      <w:r w:rsidRPr="00013879">
        <w:rPr>
          <w:rFonts w:ascii="Arial" w:hAnsi="Arial" w:cs="Arial"/>
          <w:sz w:val="20"/>
          <w:lang w:val="en-GB"/>
        </w:rPr>
        <w:t>5.</w:t>
      </w:r>
      <w:r w:rsidRPr="00013879">
        <w:rPr>
          <w:rFonts w:ascii="Arial" w:hAnsi="Arial" w:cs="Arial"/>
          <w:sz w:val="20"/>
          <w:lang w:val="en-GB"/>
        </w:rPr>
        <w:tab/>
        <w:t xml:space="preserve">Bergstrom, C. T., Lo, M. &amp; Lipsitch, M. Ecological theory suggests that antimicrobial cycling will not reduce antimicrobial resistance in hospitals. </w:t>
      </w:r>
      <w:r w:rsidRPr="00013879">
        <w:rPr>
          <w:rFonts w:ascii="Arial" w:hAnsi="Arial" w:cs="Arial"/>
          <w:i/>
          <w:iCs/>
          <w:sz w:val="20"/>
          <w:lang w:val="en-GB"/>
        </w:rPr>
        <w:t>Proc Natl Acad Sci U S A</w:t>
      </w:r>
      <w:r w:rsidRPr="00013879">
        <w:rPr>
          <w:rFonts w:ascii="Arial" w:hAnsi="Arial" w:cs="Arial"/>
          <w:sz w:val="20"/>
          <w:lang w:val="en-GB"/>
        </w:rPr>
        <w:t xml:space="preserve"> </w:t>
      </w:r>
      <w:r w:rsidRPr="00013879">
        <w:rPr>
          <w:rFonts w:ascii="Arial" w:hAnsi="Arial" w:cs="Arial"/>
          <w:b/>
          <w:bCs/>
          <w:sz w:val="20"/>
          <w:lang w:val="en-GB"/>
        </w:rPr>
        <w:t>101</w:t>
      </w:r>
      <w:r w:rsidRPr="00013879">
        <w:rPr>
          <w:rFonts w:ascii="Arial" w:hAnsi="Arial" w:cs="Arial"/>
          <w:sz w:val="20"/>
          <w:lang w:val="en-GB"/>
        </w:rPr>
        <w:t>, 13285 (2004).</w:t>
      </w:r>
    </w:p>
    <w:p w14:paraId="2F8C0AA6" w14:textId="77777777" w:rsidR="00013879" w:rsidRPr="00013879" w:rsidRDefault="00013879">
      <w:pPr>
        <w:pStyle w:val="Bibliography"/>
        <w:spacing w:line="360" w:lineRule="auto"/>
        <w:rPr>
          <w:rFonts w:ascii="Arial" w:hAnsi="Arial" w:cs="Arial"/>
          <w:sz w:val="20"/>
          <w:lang w:val="en-GB"/>
        </w:rPr>
        <w:pPrChange w:id="9" w:author="Cascante Vega, Jaime E." w:date="2023-05-11T12:03:00Z">
          <w:pPr>
            <w:pStyle w:val="Bibliography"/>
          </w:pPr>
        </w:pPrChange>
      </w:pPr>
      <w:r w:rsidRPr="00013879">
        <w:rPr>
          <w:rFonts w:ascii="Arial" w:hAnsi="Arial" w:cs="Arial"/>
          <w:sz w:val="20"/>
          <w:lang w:val="en-GB"/>
        </w:rPr>
        <w:lastRenderedPageBreak/>
        <w:t>6.</w:t>
      </w:r>
      <w:r w:rsidRPr="00013879">
        <w:rPr>
          <w:rFonts w:ascii="Arial" w:hAnsi="Arial" w:cs="Arial"/>
          <w:sz w:val="20"/>
          <w:lang w:val="en-GB"/>
        </w:rPr>
        <w:tab/>
        <w:t xml:space="preserve">Bonhoeffer, S., Lipsitch, M. &amp; Levin, B. R. Evaluating treatment protocols to prevent antibiotic resistance.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94</w:t>
      </w:r>
      <w:r w:rsidRPr="00013879">
        <w:rPr>
          <w:rFonts w:ascii="Arial" w:hAnsi="Arial" w:cs="Arial"/>
          <w:sz w:val="20"/>
          <w:lang w:val="en-GB"/>
        </w:rPr>
        <w:t>, 12106 (1997).</w:t>
      </w:r>
    </w:p>
    <w:p w14:paraId="2A814DC2" w14:textId="77777777" w:rsidR="00013879" w:rsidRPr="00013879" w:rsidRDefault="00013879">
      <w:pPr>
        <w:pStyle w:val="Bibliography"/>
        <w:spacing w:line="360" w:lineRule="auto"/>
        <w:rPr>
          <w:rFonts w:ascii="Arial" w:hAnsi="Arial" w:cs="Arial"/>
          <w:sz w:val="20"/>
          <w:lang w:val="en-GB"/>
        </w:rPr>
        <w:pPrChange w:id="10" w:author="Cascante Vega, Jaime E." w:date="2023-05-11T12:03:00Z">
          <w:pPr>
            <w:pStyle w:val="Bibliography"/>
          </w:pPr>
        </w:pPrChange>
      </w:pPr>
      <w:r w:rsidRPr="00013879">
        <w:rPr>
          <w:rFonts w:ascii="Arial" w:hAnsi="Arial" w:cs="Arial"/>
          <w:sz w:val="20"/>
          <w:lang w:val="en-GB"/>
        </w:rPr>
        <w:t>7.</w:t>
      </w:r>
      <w:r w:rsidRPr="00013879">
        <w:rPr>
          <w:rFonts w:ascii="Arial" w:hAnsi="Arial" w:cs="Arial"/>
          <w:sz w:val="20"/>
          <w:lang w:val="en-GB"/>
        </w:rPr>
        <w:tab/>
        <w:t xml:space="preserve">Lipsitch, M., Bergstrom, C. T. &amp; Levin, B. R. The epidemiology of antibiotic resistance in hospitals: Paradoxes and prescriptions.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97</w:t>
      </w:r>
      <w:r w:rsidRPr="00013879">
        <w:rPr>
          <w:rFonts w:ascii="Arial" w:hAnsi="Arial" w:cs="Arial"/>
          <w:sz w:val="20"/>
          <w:lang w:val="en-GB"/>
        </w:rPr>
        <w:t>, 1938 (2000).</w:t>
      </w:r>
    </w:p>
    <w:p w14:paraId="3D90E1F2" w14:textId="77777777" w:rsidR="00013879" w:rsidRPr="00013879" w:rsidRDefault="00013879">
      <w:pPr>
        <w:pStyle w:val="Bibliography"/>
        <w:spacing w:line="360" w:lineRule="auto"/>
        <w:rPr>
          <w:rFonts w:ascii="Arial" w:hAnsi="Arial" w:cs="Arial"/>
          <w:sz w:val="20"/>
          <w:lang w:val="en-GB"/>
        </w:rPr>
        <w:pPrChange w:id="11" w:author="Cascante Vega, Jaime E." w:date="2023-05-11T12:03:00Z">
          <w:pPr>
            <w:pStyle w:val="Bibliography"/>
          </w:pPr>
        </w:pPrChange>
      </w:pPr>
      <w:r w:rsidRPr="00013879">
        <w:rPr>
          <w:rFonts w:ascii="Arial" w:hAnsi="Arial" w:cs="Arial"/>
          <w:sz w:val="20"/>
          <w:lang w:val="en-GB"/>
        </w:rPr>
        <w:t>8.</w:t>
      </w:r>
      <w:r w:rsidRPr="00013879">
        <w:rPr>
          <w:rFonts w:ascii="Arial" w:hAnsi="Arial" w:cs="Arial"/>
          <w:sz w:val="20"/>
          <w:lang w:val="en-GB"/>
        </w:rPr>
        <w:tab/>
        <w:t xml:space="preserve">Pei, S., Morone, F., Liljeros, F., Makse, H. &amp; Shaman, J. L. Inference and control of the nosocomial transmission of methicillin-resistant Staphylococcus aureus. </w:t>
      </w:r>
      <w:r w:rsidRPr="00013879">
        <w:rPr>
          <w:rFonts w:ascii="Arial" w:hAnsi="Arial" w:cs="Arial"/>
          <w:i/>
          <w:iCs/>
          <w:sz w:val="20"/>
          <w:lang w:val="en-GB"/>
        </w:rPr>
        <w:t>eLife</w:t>
      </w:r>
      <w:r w:rsidRPr="00013879">
        <w:rPr>
          <w:rFonts w:ascii="Arial" w:hAnsi="Arial" w:cs="Arial"/>
          <w:sz w:val="20"/>
          <w:lang w:val="en-GB"/>
        </w:rPr>
        <w:t xml:space="preserve"> </w:t>
      </w:r>
      <w:r w:rsidRPr="00013879">
        <w:rPr>
          <w:rFonts w:ascii="Arial" w:hAnsi="Arial" w:cs="Arial"/>
          <w:b/>
          <w:bCs/>
          <w:sz w:val="20"/>
          <w:lang w:val="en-GB"/>
        </w:rPr>
        <w:t>7</w:t>
      </w:r>
      <w:r w:rsidRPr="00013879">
        <w:rPr>
          <w:rFonts w:ascii="Arial" w:hAnsi="Arial" w:cs="Arial"/>
          <w:sz w:val="20"/>
          <w:lang w:val="en-GB"/>
        </w:rPr>
        <w:t>, e40977 (2018).</w:t>
      </w:r>
    </w:p>
    <w:p w14:paraId="7A38CBEA" w14:textId="77777777" w:rsidR="00013879" w:rsidRPr="00013879" w:rsidRDefault="00013879">
      <w:pPr>
        <w:pStyle w:val="Bibliography"/>
        <w:spacing w:line="360" w:lineRule="auto"/>
        <w:rPr>
          <w:rFonts w:ascii="Arial" w:hAnsi="Arial" w:cs="Arial"/>
          <w:sz w:val="20"/>
          <w:lang w:val="en-GB"/>
        </w:rPr>
        <w:pPrChange w:id="12" w:author="Cascante Vega, Jaime E." w:date="2023-05-11T12:03:00Z">
          <w:pPr>
            <w:pStyle w:val="Bibliography"/>
          </w:pPr>
        </w:pPrChange>
      </w:pPr>
      <w:r w:rsidRPr="00013879">
        <w:rPr>
          <w:rFonts w:ascii="Arial" w:hAnsi="Arial" w:cs="Arial"/>
          <w:sz w:val="20"/>
          <w:lang w:val="en-GB"/>
        </w:rPr>
        <w:t>9.</w:t>
      </w:r>
      <w:r w:rsidRPr="00013879">
        <w:rPr>
          <w:rFonts w:ascii="Arial" w:hAnsi="Arial" w:cs="Arial"/>
          <w:sz w:val="20"/>
          <w:lang w:val="en-GB"/>
        </w:rPr>
        <w:tab/>
        <w:t xml:space="preserve">Paul, P., Slayton, R. B., Kallen, A. J., Walters, M. S. &amp; Jernigan, J. A. Modeling Regional Transmission and Containment of a Healthcare-associated Multidrug-resistant Organism. </w:t>
      </w:r>
      <w:r w:rsidRPr="00013879">
        <w:rPr>
          <w:rFonts w:ascii="Arial" w:hAnsi="Arial" w:cs="Arial"/>
          <w:i/>
          <w:iCs/>
          <w:sz w:val="20"/>
          <w:lang w:val="en-GB"/>
        </w:rPr>
        <w:t>Clin Infect Dis</w:t>
      </w:r>
      <w:r w:rsidRPr="00013879">
        <w:rPr>
          <w:rFonts w:ascii="Arial" w:hAnsi="Arial" w:cs="Arial"/>
          <w:sz w:val="20"/>
          <w:lang w:val="en-GB"/>
        </w:rPr>
        <w:t xml:space="preserve"> </w:t>
      </w:r>
      <w:r w:rsidRPr="00013879">
        <w:rPr>
          <w:rFonts w:ascii="Arial" w:hAnsi="Arial" w:cs="Arial"/>
          <w:b/>
          <w:bCs/>
          <w:sz w:val="20"/>
          <w:lang w:val="en-GB"/>
        </w:rPr>
        <w:t>70</w:t>
      </w:r>
      <w:r w:rsidRPr="00013879">
        <w:rPr>
          <w:rFonts w:ascii="Arial" w:hAnsi="Arial" w:cs="Arial"/>
          <w:sz w:val="20"/>
          <w:lang w:val="en-GB"/>
        </w:rPr>
        <w:t>, 388–394 (2020).</w:t>
      </w:r>
    </w:p>
    <w:p w14:paraId="6FF3C964" w14:textId="77777777" w:rsidR="00013879" w:rsidRPr="00013879" w:rsidRDefault="00013879">
      <w:pPr>
        <w:pStyle w:val="Bibliography"/>
        <w:spacing w:line="360" w:lineRule="auto"/>
        <w:rPr>
          <w:rFonts w:ascii="Arial" w:hAnsi="Arial" w:cs="Arial"/>
          <w:sz w:val="20"/>
          <w:lang w:val="en-GB"/>
        </w:rPr>
        <w:pPrChange w:id="13" w:author="Cascante Vega, Jaime E." w:date="2023-05-11T12:03:00Z">
          <w:pPr>
            <w:pStyle w:val="Bibliography"/>
          </w:pPr>
        </w:pPrChange>
      </w:pPr>
      <w:r w:rsidRPr="00013879">
        <w:rPr>
          <w:rFonts w:ascii="Arial" w:hAnsi="Arial" w:cs="Arial"/>
          <w:sz w:val="20"/>
          <w:lang w:val="en-GB"/>
        </w:rPr>
        <w:t>10.</w:t>
      </w:r>
      <w:r w:rsidRPr="00013879">
        <w:rPr>
          <w:rFonts w:ascii="Arial" w:hAnsi="Arial" w:cs="Arial"/>
          <w:sz w:val="20"/>
          <w:lang w:val="en-GB"/>
        </w:rPr>
        <w:tab/>
        <w:t xml:space="preserve">Cooper, B. S. </w:t>
      </w:r>
      <w:r w:rsidRPr="00013879">
        <w:rPr>
          <w:rFonts w:ascii="Arial" w:hAnsi="Arial" w:cs="Arial"/>
          <w:i/>
          <w:iCs/>
          <w:sz w:val="20"/>
          <w:lang w:val="en-GB"/>
        </w:rPr>
        <w:t>et al.</w:t>
      </w:r>
      <w:r w:rsidRPr="00013879">
        <w:rPr>
          <w:rFonts w:ascii="Arial" w:hAnsi="Arial" w:cs="Arial"/>
          <w:sz w:val="20"/>
          <w:lang w:val="en-GB"/>
        </w:rPr>
        <w:t xml:space="preserve"> Methicillin-resistant Staphylococcus aureus in hospitals and the community: Stealth dynamics and control catastrophes.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101</w:t>
      </w:r>
      <w:r w:rsidRPr="00013879">
        <w:rPr>
          <w:rFonts w:ascii="Arial" w:hAnsi="Arial" w:cs="Arial"/>
          <w:sz w:val="20"/>
          <w:lang w:val="en-GB"/>
        </w:rPr>
        <w:t>, 10223–10228 (2004).</w:t>
      </w:r>
    </w:p>
    <w:p w14:paraId="7681E50E" w14:textId="77777777" w:rsidR="00013879" w:rsidRPr="00013879" w:rsidRDefault="00013879">
      <w:pPr>
        <w:pStyle w:val="Bibliography"/>
        <w:spacing w:line="360" w:lineRule="auto"/>
        <w:rPr>
          <w:rFonts w:ascii="Arial" w:hAnsi="Arial" w:cs="Arial"/>
          <w:sz w:val="20"/>
          <w:lang w:val="en-GB"/>
        </w:rPr>
        <w:pPrChange w:id="14" w:author="Cascante Vega, Jaime E." w:date="2023-05-11T12:03:00Z">
          <w:pPr>
            <w:pStyle w:val="Bibliography"/>
          </w:pPr>
        </w:pPrChange>
      </w:pPr>
      <w:r w:rsidRPr="00013879">
        <w:rPr>
          <w:rFonts w:ascii="Arial" w:hAnsi="Arial" w:cs="Arial"/>
          <w:sz w:val="20"/>
          <w:lang w:val="en-GB"/>
        </w:rPr>
        <w:t>11.</w:t>
      </w:r>
      <w:r w:rsidRPr="00013879">
        <w:rPr>
          <w:rFonts w:ascii="Arial" w:hAnsi="Arial" w:cs="Arial"/>
          <w:sz w:val="20"/>
          <w:lang w:val="en-GB"/>
        </w:rPr>
        <w:tab/>
        <w:t xml:space="preserve">Pei, S., Liljeros, F. &amp; Shaman, J. Identifying asymptomatic spreaders of antimicrobial-resistant pathogens in hospital settings.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118</w:t>
      </w:r>
      <w:r w:rsidRPr="00013879">
        <w:rPr>
          <w:rFonts w:ascii="Arial" w:hAnsi="Arial" w:cs="Arial"/>
          <w:sz w:val="20"/>
          <w:lang w:val="en-GB"/>
        </w:rPr>
        <w:t>, e2111190118 (2021).</w:t>
      </w:r>
    </w:p>
    <w:p w14:paraId="703D414B" w14:textId="77777777" w:rsidR="00013879" w:rsidRPr="00013879" w:rsidRDefault="00013879">
      <w:pPr>
        <w:pStyle w:val="Bibliography"/>
        <w:spacing w:line="360" w:lineRule="auto"/>
        <w:rPr>
          <w:rFonts w:ascii="Arial" w:hAnsi="Arial" w:cs="Arial"/>
          <w:sz w:val="20"/>
          <w:lang w:val="en-GB"/>
        </w:rPr>
        <w:pPrChange w:id="15" w:author="Cascante Vega, Jaime E." w:date="2023-05-11T12:03:00Z">
          <w:pPr>
            <w:pStyle w:val="Bibliography"/>
          </w:pPr>
        </w:pPrChange>
      </w:pPr>
      <w:r w:rsidRPr="00013879">
        <w:rPr>
          <w:rFonts w:ascii="Arial" w:hAnsi="Arial" w:cs="Arial"/>
          <w:sz w:val="20"/>
          <w:lang w:val="en-GB"/>
        </w:rPr>
        <w:t>12.</w:t>
      </w:r>
      <w:r w:rsidRPr="00013879">
        <w:rPr>
          <w:rFonts w:ascii="Arial" w:hAnsi="Arial" w:cs="Arial"/>
          <w:sz w:val="20"/>
          <w:lang w:val="en-GB"/>
        </w:rPr>
        <w:tab/>
        <w:t xml:space="preserve">Lipsitch, M. &amp; Samore, M. H. Antimicrobial Use and Antimicrobial Resistance: A Population Perspective. </w:t>
      </w:r>
      <w:r w:rsidRPr="00013879">
        <w:rPr>
          <w:rFonts w:ascii="Arial" w:hAnsi="Arial" w:cs="Arial"/>
          <w:i/>
          <w:iCs/>
          <w:sz w:val="20"/>
          <w:lang w:val="en-GB"/>
        </w:rPr>
        <w:t>Emerg. Infect. Dis.</w:t>
      </w:r>
      <w:r w:rsidRPr="00013879">
        <w:rPr>
          <w:rFonts w:ascii="Arial" w:hAnsi="Arial" w:cs="Arial"/>
          <w:sz w:val="20"/>
          <w:lang w:val="en-GB"/>
        </w:rPr>
        <w:t xml:space="preserve"> </w:t>
      </w:r>
      <w:r w:rsidRPr="00013879">
        <w:rPr>
          <w:rFonts w:ascii="Arial" w:hAnsi="Arial" w:cs="Arial"/>
          <w:b/>
          <w:bCs/>
          <w:sz w:val="20"/>
          <w:lang w:val="en-GB"/>
        </w:rPr>
        <w:t>8</w:t>
      </w:r>
      <w:r w:rsidRPr="00013879">
        <w:rPr>
          <w:rFonts w:ascii="Arial" w:hAnsi="Arial" w:cs="Arial"/>
          <w:sz w:val="20"/>
          <w:lang w:val="en-GB"/>
        </w:rPr>
        <w:t>, 347–354 (2002).</w:t>
      </w:r>
    </w:p>
    <w:p w14:paraId="78FEDA25" w14:textId="77777777" w:rsidR="00013879" w:rsidRPr="00013879" w:rsidRDefault="00013879">
      <w:pPr>
        <w:pStyle w:val="Bibliography"/>
        <w:spacing w:line="360" w:lineRule="auto"/>
        <w:rPr>
          <w:rFonts w:ascii="Arial" w:hAnsi="Arial" w:cs="Arial"/>
          <w:sz w:val="20"/>
          <w:lang w:val="en-GB"/>
        </w:rPr>
        <w:pPrChange w:id="16" w:author="Cascante Vega, Jaime E." w:date="2023-05-11T12:03:00Z">
          <w:pPr>
            <w:pStyle w:val="Bibliography"/>
          </w:pPr>
        </w:pPrChange>
      </w:pPr>
      <w:r w:rsidRPr="00013879">
        <w:rPr>
          <w:rFonts w:ascii="Arial" w:hAnsi="Arial" w:cs="Arial"/>
          <w:sz w:val="20"/>
          <w:lang w:val="en-GB"/>
        </w:rPr>
        <w:t>13.</w:t>
      </w:r>
      <w:r w:rsidRPr="00013879">
        <w:rPr>
          <w:rFonts w:ascii="Arial" w:hAnsi="Arial" w:cs="Arial"/>
          <w:sz w:val="20"/>
          <w:lang w:val="en-GB"/>
        </w:rPr>
        <w:tab/>
        <w:t xml:space="preserve">Austin, D. J., Kristinsson, K. G. &amp; Anderson, R. M. The relationship between the volume of antimicrobial consumption in human communities and the frequency of resistance.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96</w:t>
      </w:r>
      <w:r w:rsidRPr="00013879">
        <w:rPr>
          <w:rFonts w:ascii="Arial" w:hAnsi="Arial" w:cs="Arial"/>
          <w:sz w:val="20"/>
          <w:lang w:val="en-GB"/>
        </w:rPr>
        <w:t>, 1152–1156 (1999).</w:t>
      </w:r>
    </w:p>
    <w:p w14:paraId="6403C00A" w14:textId="77777777" w:rsidR="00013879" w:rsidRPr="00013879" w:rsidRDefault="00013879">
      <w:pPr>
        <w:pStyle w:val="Bibliography"/>
        <w:spacing w:line="360" w:lineRule="auto"/>
        <w:rPr>
          <w:rFonts w:ascii="Arial" w:hAnsi="Arial" w:cs="Arial"/>
          <w:sz w:val="20"/>
          <w:lang w:val="en-GB"/>
        </w:rPr>
        <w:pPrChange w:id="17" w:author="Cascante Vega, Jaime E." w:date="2023-05-11T12:03:00Z">
          <w:pPr>
            <w:pStyle w:val="Bibliography"/>
          </w:pPr>
        </w:pPrChange>
      </w:pPr>
      <w:r w:rsidRPr="00013879">
        <w:rPr>
          <w:rFonts w:ascii="Arial" w:hAnsi="Arial" w:cs="Arial"/>
          <w:sz w:val="20"/>
          <w:lang w:val="en-GB"/>
        </w:rPr>
        <w:t>14.</w:t>
      </w:r>
      <w:r w:rsidRPr="00013879">
        <w:rPr>
          <w:rFonts w:ascii="Arial" w:hAnsi="Arial" w:cs="Arial"/>
          <w:sz w:val="20"/>
          <w:lang w:val="en-GB"/>
        </w:rPr>
        <w:tab/>
        <w:t xml:space="preserve">Austin, D. J., Bonten, M. J. M., Weinstein, R. A., Slaughter, S. &amp; Anderson, R. M. Vancomycin-resistant enterococci in intensive-care hospital settings: Transmission dynamics, persistence, and the impact of infection control programs.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96</w:t>
      </w:r>
      <w:r w:rsidRPr="00013879">
        <w:rPr>
          <w:rFonts w:ascii="Arial" w:hAnsi="Arial" w:cs="Arial"/>
          <w:sz w:val="20"/>
          <w:lang w:val="en-GB"/>
        </w:rPr>
        <w:t>, 6908–6913 (1999).</w:t>
      </w:r>
    </w:p>
    <w:p w14:paraId="7EEB308C" w14:textId="77777777" w:rsidR="00013879" w:rsidRPr="00013879" w:rsidRDefault="00013879">
      <w:pPr>
        <w:pStyle w:val="Bibliography"/>
        <w:spacing w:line="360" w:lineRule="auto"/>
        <w:rPr>
          <w:rFonts w:ascii="Arial" w:hAnsi="Arial" w:cs="Arial"/>
          <w:sz w:val="20"/>
          <w:lang w:val="en-GB"/>
        </w:rPr>
        <w:pPrChange w:id="18" w:author="Cascante Vega, Jaime E." w:date="2023-05-11T12:03:00Z">
          <w:pPr>
            <w:pStyle w:val="Bibliography"/>
          </w:pPr>
        </w:pPrChange>
      </w:pPr>
      <w:r w:rsidRPr="00013879">
        <w:rPr>
          <w:rFonts w:ascii="Arial" w:hAnsi="Arial" w:cs="Arial"/>
          <w:sz w:val="20"/>
          <w:lang w:val="en-GB"/>
        </w:rPr>
        <w:t>15.</w:t>
      </w:r>
      <w:r w:rsidRPr="00013879">
        <w:rPr>
          <w:rFonts w:ascii="Arial" w:hAnsi="Arial" w:cs="Arial"/>
          <w:sz w:val="20"/>
          <w:lang w:val="en-GB"/>
        </w:rPr>
        <w:tab/>
        <w:t xml:space="preserve">Uhlemann, A.-C., Otto, M., Lowy, F. D. &amp; DeLeo, F. R. Evolution of community- and healthcare-associated methicillin-resistant Staphylococcus aureus. </w:t>
      </w:r>
      <w:r w:rsidRPr="00013879">
        <w:rPr>
          <w:rFonts w:ascii="Arial" w:hAnsi="Arial" w:cs="Arial"/>
          <w:i/>
          <w:iCs/>
          <w:sz w:val="20"/>
          <w:lang w:val="en-GB"/>
        </w:rPr>
        <w:t>Infection, Genetics and Evolution</w:t>
      </w:r>
      <w:r w:rsidRPr="00013879">
        <w:rPr>
          <w:rFonts w:ascii="Arial" w:hAnsi="Arial" w:cs="Arial"/>
          <w:sz w:val="20"/>
          <w:lang w:val="en-GB"/>
        </w:rPr>
        <w:t xml:space="preserve"> </w:t>
      </w:r>
      <w:r w:rsidRPr="00013879">
        <w:rPr>
          <w:rFonts w:ascii="Arial" w:hAnsi="Arial" w:cs="Arial"/>
          <w:b/>
          <w:bCs/>
          <w:sz w:val="20"/>
          <w:lang w:val="en-GB"/>
        </w:rPr>
        <w:t>21</w:t>
      </w:r>
      <w:r w:rsidRPr="00013879">
        <w:rPr>
          <w:rFonts w:ascii="Arial" w:hAnsi="Arial" w:cs="Arial"/>
          <w:sz w:val="20"/>
          <w:lang w:val="en-GB"/>
        </w:rPr>
        <w:t>, 563–574 (2014).</w:t>
      </w:r>
    </w:p>
    <w:p w14:paraId="1FB260CC" w14:textId="77777777" w:rsidR="00013879" w:rsidRPr="00013879" w:rsidRDefault="00013879">
      <w:pPr>
        <w:pStyle w:val="Bibliography"/>
        <w:spacing w:line="360" w:lineRule="auto"/>
        <w:rPr>
          <w:rFonts w:ascii="Arial" w:hAnsi="Arial" w:cs="Arial"/>
          <w:sz w:val="20"/>
          <w:lang w:val="en-GB"/>
        </w:rPr>
        <w:pPrChange w:id="19" w:author="Cascante Vega, Jaime E." w:date="2023-05-11T12:03:00Z">
          <w:pPr>
            <w:pStyle w:val="Bibliography"/>
          </w:pPr>
        </w:pPrChange>
      </w:pPr>
      <w:r w:rsidRPr="00013879">
        <w:rPr>
          <w:rFonts w:ascii="Arial" w:hAnsi="Arial" w:cs="Arial"/>
          <w:sz w:val="20"/>
          <w:lang w:val="en-GB"/>
        </w:rPr>
        <w:t>16.</w:t>
      </w:r>
      <w:r w:rsidRPr="00013879">
        <w:rPr>
          <w:rFonts w:ascii="Arial" w:hAnsi="Arial" w:cs="Arial"/>
          <w:sz w:val="20"/>
          <w:lang w:val="en-GB"/>
        </w:rPr>
        <w:tab/>
        <w:t xml:space="preserve">Smith, D. L., Levin, S. A. &amp; Laxminarayan, R. Strategic interactions in multi-institutional epidemics of antibiotic resistance. </w:t>
      </w:r>
      <w:r w:rsidRPr="00013879">
        <w:rPr>
          <w:rFonts w:ascii="Arial" w:hAnsi="Arial" w:cs="Arial"/>
          <w:i/>
          <w:iCs/>
          <w:sz w:val="20"/>
          <w:lang w:val="en-GB"/>
        </w:rPr>
        <w:t>Proc Natl Acad Sci U S A</w:t>
      </w:r>
      <w:r w:rsidRPr="00013879">
        <w:rPr>
          <w:rFonts w:ascii="Arial" w:hAnsi="Arial" w:cs="Arial"/>
          <w:sz w:val="20"/>
          <w:lang w:val="en-GB"/>
        </w:rPr>
        <w:t xml:space="preserve"> </w:t>
      </w:r>
      <w:r w:rsidRPr="00013879">
        <w:rPr>
          <w:rFonts w:ascii="Arial" w:hAnsi="Arial" w:cs="Arial"/>
          <w:b/>
          <w:bCs/>
          <w:sz w:val="20"/>
          <w:lang w:val="en-GB"/>
        </w:rPr>
        <w:t>102</w:t>
      </w:r>
      <w:r w:rsidRPr="00013879">
        <w:rPr>
          <w:rFonts w:ascii="Arial" w:hAnsi="Arial" w:cs="Arial"/>
          <w:sz w:val="20"/>
          <w:lang w:val="en-GB"/>
        </w:rPr>
        <w:t>, 3153 (2005).</w:t>
      </w:r>
    </w:p>
    <w:p w14:paraId="1938485B" w14:textId="77777777" w:rsidR="00013879" w:rsidRPr="00013879" w:rsidRDefault="00013879">
      <w:pPr>
        <w:pStyle w:val="Bibliography"/>
        <w:spacing w:line="360" w:lineRule="auto"/>
        <w:rPr>
          <w:rFonts w:ascii="Arial" w:hAnsi="Arial" w:cs="Arial"/>
          <w:sz w:val="20"/>
          <w:lang w:val="en-GB"/>
        </w:rPr>
        <w:pPrChange w:id="20" w:author="Cascante Vega, Jaime E." w:date="2023-05-11T12:03:00Z">
          <w:pPr>
            <w:pStyle w:val="Bibliography"/>
          </w:pPr>
        </w:pPrChange>
      </w:pPr>
      <w:r w:rsidRPr="00013879">
        <w:rPr>
          <w:rFonts w:ascii="Arial" w:hAnsi="Arial" w:cs="Arial"/>
          <w:sz w:val="20"/>
          <w:lang w:val="en-GB"/>
        </w:rPr>
        <w:t>17.</w:t>
      </w:r>
      <w:r w:rsidRPr="00013879">
        <w:rPr>
          <w:rFonts w:ascii="Arial" w:hAnsi="Arial" w:cs="Arial"/>
          <w:sz w:val="20"/>
          <w:lang w:val="en-GB"/>
        </w:rPr>
        <w:tab/>
        <w:t xml:space="preserve">the EuSCAPE Working Group </w:t>
      </w:r>
      <w:r w:rsidRPr="00013879">
        <w:rPr>
          <w:rFonts w:ascii="Arial" w:hAnsi="Arial" w:cs="Arial"/>
          <w:i/>
          <w:iCs/>
          <w:sz w:val="20"/>
          <w:lang w:val="en-GB"/>
        </w:rPr>
        <w:t>et al.</w:t>
      </w:r>
      <w:r w:rsidRPr="00013879">
        <w:rPr>
          <w:rFonts w:ascii="Arial" w:hAnsi="Arial" w:cs="Arial"/>
          <w:sz w:val="20"/>
          <w:lang w:val="en-GB"/>
        </w:rPr>
        <w:t xml:space="preserve"> Epidemic of carbapenem-resistant Klebsiella pneumoniae in Europe is driven by nosocomial spread. </w:t>
      </w:r>
      <w:r w:rsidRPr="00013879">
        <w:rPr>
          <w:rFonts w:ascii="Arial" w:hAnsi="Arial" w:cs="Arial"/>
          <w:i/>
          <w:iCs/>
          <w:sz w:val="20"/>
          <w:lang w:val="en-GB"/>
        </w:rPr>
        <w:t>Nat Microbiol</w:t>
      </w:r>
      <w:r w:rsidRPr="00013879">
        <w:rPr>
          <w:rFonts w:ascii="Arial" w:hAnsi="Arial" w:cs="Arial"/>
          <w:sz w:val="20"/>
          <w:lang w:val="en-GB"/>
        </w:rPr>
        <w:t xml:space="preserve"> </w:t>
      </w:r>
      <w:r w:rsidRPr="00013879">
        <w:rPr>
          <w:rFonts w:ascii="Arial" w:hAnsi="Arial" w:cs="Arial"/>
          <w:b/>
          <w:bCs/>
          <w:sz w:val="20"/>
          <w:lang w:val="en-GB"/>
        </w:rPr>
        <w:t>4</w:t>
      </w:r>
      <w:r w:rsidRPr="00013879">
        <w:rPr>
          <w:rFonts w:ascii="Arial" w:hAnsi="Arial" w:cs="Arial"/>
          <w:sz w:val="20"/>
          <w:lang w:val="en-GB"/>
        </w:rPr>
        <w:t>, 1919–1929 (2019).</w:t>
      </w:r>
    </w:p>
    <w:p w14:paraId="1F3C8129" w14:textId="77777777" w:rsidR="00013879" w:rsidRPr="00013879" w:rsidRDefault="00013879">
      <w:pPr>
        <w:pStyle w:val="Bibliography"/>
        <w:spacing w:line="360" w:lineRule="auto"/>
        <w:rPr>
          <w:rFonts w:ascii="Arial" w:hAnsi="Arial" w:cs="Arial"/>
          <w:sz w:val="20"/>
          <w:lang w:val="en-GB"/>
        </w:rPr>
        <w:pPrChange w:id="21" w:author="Cascante Vega, Jaime E." w:date="2023-05-11T12:03:00Z">
          <w:pPr>
            <w:pStyle w:val="Bibliography"/>
          </w:pPr>
        </w:pPrChange>
      </w:pPr>
      <w:r w:rsidRPr="00013879">
        <w:rPr>
          <w:rFonts w:ascii="Arial" w:hAnsi="Arial" w:cs="Arial"/>
          <w:sz w:val="20"/>
          <w:lang w:val="en-GB"/>
        </w:rPr>
        <w:t>18.</w:t>
      </w:r>
      <w:r w:rsidRPr="00013879">
        <w:rPr>
          <w:rFonts w:ascii="Arial" w:hAnsi="Arial" w:cs="Arial"/>
          <w:sz w:val="20"/>
          <w:lang w:val="en-GB"/>
        </w:rPr>
        <w:tab/>
        <w:t xml:space="preserve">Rosvall, M. &amp; Bergstrom, C. T. Maps of random walks on complex networks reveal community structure.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105</w:t>
      </w:r>
      <w:r w:rsidRPr="00013879">
        <w:rPr>
          <w:rFonts w:ascii="Arial" w:hAnsi="Arial" w:cs="Arial"/>
          <w:sz w:val="20"/>
          <w:lang w:val="en-GB"/>
        </w:rPr>
        <w:t>, 1118–1123 (2008).</w:t>
      </w:r>
    </w:p>
    <w:p w14:paraId="6F33BAEA" w14:textId="77777777" w:rsidR="00013879" w:rsidRPr="00013879" w:rsidRDefault="00013879">
      <w:pPr>
        <w:pStyle w:val="Bibliography"/>
        <w:spacing w:line="360" w:lineRule="auto"/>
        <w:rPr>
          <w:rFonts w:ascii="Arial" w:hAnsi="Arial" w:cs="Arial"/>
          <w:sz w:val="20"/>
          <w:lang w:val="en-GB"/>
        </w:rPr>
        <w:pPrChange w:id="22" w:author="Cascante Vega, Jaime E." w:date="2023-05-11T12:03:00Z">
          <w:pPr>
            <w:pStyle w:val="Bibliography"/>
          </w:pPr>
        </w:pPrChange>
      </w:pPr>
      <w:r w:rsidRPr="00013879">
        <w:rPr>
          <w:rFonts w:ascii="Arial" w:hAnsi="Arial" w:cs="Arial"/>
          <w:sz w:val="20"/>
          <w:lang w:val="en-GB"/>
        </w:rPr>
        <w:lastRenderedPageBreak/>
        <w:t>19.</w:t>
      </w:r>
      <w:r w:rsidRPr="00013879">
        <w:rPr>
          <w:rFonts w:ascii="Arial" w:hAnsi="Arial" w:cs="Arial"/>
          <w:sz w:val="20"/>
          <w:lang w:val="en-GB"/>
        </w:rPr>
        <w:tab/>
        <w:t xml:space="preserve">Gelman, A., Simpson, D. &amp; Betancourt, M. The Prior Can Often Only Be Understood in the Context of the Likelihood. </w:t>
      </w:r>
      <w:r w:rsidRPr="00013879">
        <w:rPr>
          <w:rFonts w:ascii="Arial" w:hAnsi="Arial" w:cs="Arial"/>
          <w:i/>
          <w:iCs/>
          <w:sz w:val="20"/>
          <w:lang w:val="en-GB"/>
        </w:rPr>
        <w:t>Entropy</w:t>
      </w:r>
      <w:r w:rsidRPr="00013879">
        <w:rPr>
          <w:rFonts w:ascii="Arial" w:hAnsi="Arial" w:cs="Arial"/>
          <w:sz w:val="20"/>
          <w:lang w:val="en-GB"/>
        </w:rPr>
        <w:t xml:space="preserve"> </w:t>
      </w:r>
      <w:r w:rsidRPr="00013879">
        <w:rPr>
          <w:rFonts w:ascii="Arial" w:hAnsi="Arial" w:cs="Arial"/>
          <w:b/>
          <w:bCs/>
          <w:sz w:val="20"/>
          <w:lang w:val="en-GB"/>
        </w:rPr>
        <w:t>19</w:t>
      </w:r>
      <w:r w:rsidRPr="00013879">
        <w:rPr>
          <w:rFonts w:ascii="Arial" w:hAnsi="Arial" w:cs="Arial"/>
          <w:sz w:val="20"/>
          <w:lang w:val="en-GB"/>
        </w:rPr>
        <w:t>, 555 (2017).</w:t>
      </w:r>
    </w:p>
    <w:p w14:paraId="2E96859D" w14:textId="77777777" w:rsidR="00013879" w:rsidRPr="00013879" w:rsidRDefault="00013879">
      <w:pPr>
        <w:pStyle w:val="Bibliography"/>
        <w:spacing w:line="360" w:lineRule="auto"/>
        <w:rPr>
          <w:rFonts w:ascii="Arial" w:hAnsi="Arial" w:cs="Arial"/>
          <w:sz w:val="20"/>
          <w:lang w:val="en-GB"/>
        </w:rPr>
        <w:pPrChange w:id="23" w:author="Cascante Vega, Jaime E." w:date="2023-05-11T12:03:00Z">
          <w:pPr>
            <w:pStyle w:val="Bibliography"/>
          </w:pPr>
        </w:pPrChange>
      </w:pPr>
      <w:r w:rsidRPr="00013879">
        <w:rPr>
          <w:rFonts w:ascii="Arial" w:hAnsi="Arial" w:cs="Arial"/>
          <w:sz w:val="20"/>
          <w:lang w:val="en-GB"/>
        </w:rPr>
        <w:t>20.</w:t>
      </w:r>
      <w:r w:rsidRPr="00013879">
        <w:rPr>
          <w:rFonts w:ascii="Arial" w:hAnsi="Arial" w:cs="Arial"/>
          <w:sz w:val="20"/>
          <w:lang w:val="en-GB"/>
        </w:rPr>
        <w:tab/>
        <w:t>Kennedy, L., Simpson, D. &amp; Gelman, A. The experiment is just as important as the likelihood in understanding the prior: A cautionary note on robust cognitive modelling. 12.</w:t>
      </w:r>
    </w:p>
    <w:p w14:paraId="5F90B35F" w14:textId="77777777" w:rsidR="00013879" w:rsidRPr="00013879" w:rsidRDefault="00013879">
      <w:pPr>
        <w:pStyle w:val="Bibliography"/>
        <w:spacing w:line="360" w:lineRule="auto"/>
        <w:rPr>
          <w:rFonts w:ascii="Arial" w:hAnsi="Arial" w:cs="Arial"/>
          <w:sz w:val="20"/>
          <w:lang w:val="en-GB"/>
        </w:rPr>
        <w:pPrChange w:id="24" w:author="Cascante Vega, Jaime E." w:date="2023-05-11T12:03:00Z">
          <w:pPr>
            <w:pStyle w:val="Bibliography"/>
          </w:pPr>
        </w:pPrChange>
      </w:pPr>
      <w:r w:rsidRPr="00013879">
        <w:rPr>
          <w:rFonts w:ascii="Arial" w:hAnsi="Arial" w:cs="Arial"/>
          <w:sz w:val="20"/>
          <w:lang w:val="en-GB"/>
        </w:rPr>
        <w:t>21.</w:t>
      </w:r>
      <w:r w:rsidRPr="00013879">
        <w:rPr>
          <w:rFonts w:ascii="Arial" w:hAnsi="Arial" w:cs="Arial"/>
          <w:sz w:val="20"/>
          <w:lang w:val="en-GB"/>
        </w:rPr>
        <w:tab/>
        <w:t xml:space="preserve">Wieland, F.-G., Hauber, A. L., Rosenblatt, M., Tönsing, C. &amp; Timmer, J. On structural and practical identifiability. </w:t>
      </w:r>
      <w:r w:rsidRPr="00013879">
        <w:rPr>
          <w:rFonts w:ascii="Arial" w:hAnsi="Arial" w:cs="Arial"/>
          <w:i/>
          <w:iCs/>
          <w:sz w:val="20"/>
          <w:lang w:val="en-GB"/>
        </w:rPr>
        <w:t>Current Opinion in Systems Biology</w:t>
      </w:r>
      <w:r w:rsidRPr="00013879">
        <w:rPr>
          <w:rFonts w:ascii="Arial" w:hAnsi="Arial" w:cs="Arial"/>
          <w:sz w:val="20"/>
          <w:lang w:val="en-GB"/>
        </w:rPr>
        <w:t xml:space="preserve"> </w:t>
      </w:r>
      <w:r w:rsidRPr="00013879">
        <w:rPr>
          <w:rFonts w:ascii="Arial" w:hAnsi="Arial" w:cs="Arial"/>
          <w:b/>
          <w:bCs/>
          <w:sz w:val="20"/>
          <w:lang w:val="en-GB"/>
        </w:rPr>
        <w:t>25</w:t>
      </w:r>
      <w:r w:rsidRPr="00013879">
        <w:rPr>
          <w:rFonts w:ascii="Arial" w:hAnsi="Arial" w:cs="Arial"/>
          <w:sz w:val="20"/>
          <w:lang w:val="en-GB"/>
        </w:rPr>
        <w:t>, 60–69 (2021).</w:t>
      </w:r>
    </w:p>
    <w:p w14:paraId="4D3E2D76" w14:textId="77777777" w:rsidR="00013879" w:rsidRPr="00013879" w:rsidRDefault="00013879">
      <w:pPr>
        <w:pStyle w:val="Bibliography"/>
        <w:spacing w:line="360" w:lineRule="auto"/>
        <w:rPr>
          <w:rFonts w:ascii="Arial" w:hAnsi="Arial" w:cs="Arial"/>
          <w:sz w:val="20"/>
          <w:lang w:val="en-GB"/>
        </w:rPr>
        <w:pPrChange w:id="25" w:author="Cascante Vega, Jaime E." w:date="2023-05-11T12:03:00Z">
          <w:pPr>
            <w:pStyle w:val="Bibliography"/>
          </w:pPr>
        </w:pPrChange>
      </w:pPr>
      <w:r w:rsidRPr="00013879">
        <w:rPr>
          <w:rFonts w:ascii="Arial" w:hAnsi="Arial" w:cs="Arial"/>
          <w:sz w:val="20"/>
          <w:lang w:val="en-GB"/>
        </w:rPr>
        <w:t>22.</w:t>
      </w:r>
      <w:r w:rsidRPr="00013879">
        <w:rPr>
          <w:rFonts w:ascii="Arial" w:hAnsi="Arial" w:cs="Arial"/>
          <w:sz w:val="20"/>
          <w:lang w:val="en-GB"/>
        </w:rPr>
        <w:tab/>
        <w:t xml:space="preserve">Larramendy, S. </w:t>
      </w:r>
      <w:r w:rsidRPr="00013879">
        <w:rPr>
          <w:rFonts w:ascii="Arial" w:hAnsi="Arial" w:cs="Arial"/>
          <w:i/>
          <w:iCs/>
          <w:sz w:val="20"/>
          <w:lang w:val="en-GB"/>
        </w:rPr>
        <w:t>et al.</w:t>
      </w:r>
      <w:r w:rsidRPr="00013879">
        <w:rPr>
          <w:rFonts w:ascii="Arial" w:hAnsi="Arial" w:cs="Arial"/>
          <w:sz w:val="20"/>
          <w:lang w:val="en-GB"/>
        </w:rPr>
        <w:t xml:space="preserve"> Risk Factors of Extended-Spectrum Beta-Lactamases-Producing Escherichia coli Community Acquired Urinary Tract Infections: A Systematic Review. </w:t>
      </w:r>
      <w:r w:rsidRPr="00013879">
        <w:rPr>
          <w:rFonts w:ascii="Arial" w:hAnsi="Arial" w:cs="Arial"/>
          <w:i/>
          <w:iCs/>
          <w:sz w:val="20"/>
          <w:lang w:val="en-GB"/>
        </w:rPr>
        <w:t>IDR</w:t>
      </w:r>
      <w:r w:rsidRPr="00013879">
        <w:rPr>
          <w:rFonts w:ascii="Arial" w:hAnsi="Arial" w:cs="Arial"/>
          <w:sz w:val="20"/>
          <w:lang w:val="en-GB"/>
        </w:rPr>
        <w:t xml:space="preserve"> </w:t>
      </w:r>
      <w:r w:rsidRPr="00013879">
        <w:rPr>
          <w:rFonts w:ascii="Arial" w:hAnsi="Arial" w:cs="Arial"/>
          <w:b/>
          <w:bCs/>
          <w:sz w:val="20"/>
          <w:lang w:val="en-GB"/>
        </w:rPr>
        <w:t>Volume 13</w:t>
      </w:r>
      <w:r w:rsidRPr="00013879">
        <w:rPr>
          <w:rFonts w:ascii="Arial" w:hAnsi="Arial" w:cs="Arial"/>
          <w:sz w:val="20"/>
          <w:lang w:val="en-GB"/>
        </w:rPr>
        <w:t>, 3945–3955 (2020).</w:t>
      </w:r>
    </w:p>
    <w:p w14:paraId="6562DB8F" w14:textId="77777777" w:rsidR="00013879" w:rsidRPr="00013879" w:rsidRDefault="00013879">
      <w:pPr>
        <w:pStyle w:val="Bibliography"/>
        <w:spacing w:line="360" w:lineRule="auto"/>
        <w:rPr>
          <w:rFonts w:ascii="Arial" w:hAnsi="Arial" w:cs="Arial"/>
          <w:sz w:val="20"/>
          <w:lang w:val="en-GB"/>
        </w:rPr>
        <w:pPrChange w:id="26" w:author="Cascante Vega, Jaime E." w:date="2023-05-11T12:03:00Z">
          <w:pPr>
            <w:pStyle w:val="Bibliography"/>
          </w:pPr>
        </w:pPrChange>
      </w:pPr>
      <w:r w:rsidRPr="00013879">
        <w:rPr>
          <w:rFonts w:ascii="Arial" w:hAnsi="Arial" w:cs="Arial"/>
          <w:sz w:val="20"/>
          <w:lang w:val="en-GB"/>
        </w:rPr>
        <w:t>23.</w:t>
      </w:r>
      <w:r w:rsidRPr="00013879">
        <w:rPr>
          <w:rFonts w:ascii="Arial" w:hAnsi="Arial" w:cs="Arial"/>
          <w:sz w:val="20"/>
          <w:lang w:val="en-GB"/>
        </w:rPr>
        <w:tab/>
        <w:t xml:space="preserve">Diggle, S. P. &amp; Whiteley, M. Microbe Profile: Pseudomonas aeruginosa: opportunistic pathogen and lab rat: This article is part of the Microbe Profiles collection. </w:t>
      </w:r>
      <w:r w:rsidRPr="00013879">
        <w:rPr>
          <w:rFonts w:ascii="Arial" w:hAnsi="Arial" w:cs="Arial"/>
          <w:i/>
          <w:iCs/>
          <w:sz w:val="20"/>
          <w:lang w:val="en-GB"/>
        </w:rPr>
        <w:t>Microbiology</w:t>
      </w:r>
      <w:r w:rsidRPr="00013879">
        <w:rPr>
          <w:rFonts w:ascii="Arial" w:hAnsi="Arial" w:cs="Arial"/>
          <w:sz w:val="20"/>
          <w:lang w:val="en-GB"/>
        </w:rPr>
        <w:t xml:space="preserve"> </w:t>
      </w:r>
      <w:r w:rsidRPr="00013879">
        <w:rPr>
          <w:rFonts w:ascii="Arial" w:hAnsi="Arial" w:cs="Arial"/>
          <w:b/>
          <w:bCs/>
          <w:sz w:val="20"/>
          <w:lang w:val="en-GB"/>
        </w:rPr>
        <w:t>166</w:t>
      </w:r>
      <w:r w:rsidRPr="00013879">
        <w:rPr>
          <w:rFonts w:ascii="Arial" w:hAnsi="Arial" w:cs="Arial"/>
          <w:sz w:val="20"/>
          <w:lang w:val="en-GB"/>
        </w:rPr>
        <w:t>, 30–33 (2020).</w:t>
      </w:r>
    </w:p>
    <w:p w14:paraId="1C8DF908" w14:textId="77777777" w:rsidR="00013879" w:rsidRPr="00013879" w:rsidRDefault="00013879">
      <w:pPr>
        <w:pStyle w:val="Bibliography"/>
        <w:spacing w:line="360" w:lineRule="auto"/>
        <w:rPr>
          <w:rFonts w:ascii="Arial" w:hAnsi="Arial" w:cs="Arial"/>
          <w:sz w:val="20"/>
          <w:lang w:val="en-GB"/>
        </w:rPr>
        <w:pPrChange w:id="27" w:author="Cascante Vega, Jaime E." w:date="2023-05-11T12:03:00Z">
          <w:pPr>
            <w:pStyle w:val="Bibliography"/>
          </w:pPr>
        </w:pPrChange>
      </w:pPr>
      <w:r w:rsidRPr="00013879">
        <w:rPr>
          <w:rFonts w:ascii="Arial" w:hAnsi="Arial" w:cs="Arial"/>
          <w:sz w:val="20"/>
          <w:lang w:val="en-GB"/>
        </w:rPr>
        <w:t>24.</w:t>
      </w:r>
      <w:r w:rsidRPr="00013879">
        <w:rPr>
          <w:rFonts w:ascii="Arial" w:hAnsi="Arial" w:cs="Arial"/>
          <w:sz w:val="20"/>
          <w:lang w:val="en-GB"/>
        </w:rPr>
        <w:tab/>
        <w:t xml:space="preserve">Reuter, S., Sigge, A., Wiedeck, H. &amp; Trautmann, M. Analysis of transmission pathways of Pseudomonas aeruginosa between patients and tap water outlets*: </w:t>
      </w:r>
      <w:r w:rsidRPr="00013879">
        <w:rPr>
          <w:rFonts w:ascii="Arial" w:hAnsi="Arial" w:cs="Arial"/>
          <w:i/>
          <w:iCs/>
          <w:sz w:val="20"/>
          <w:lang w:val="en-GB"/>
        </w:rPr>
        <w:t>Critical Care Medicine</w:t>
      </w:r>
      <w:r w:rsidRPr="00013879">
        <w:rPr>
          <w:rFonts w:ascii="Arial" w:hAnsi="Arial" w:cs="Arial"/>
          <w:sz w:val="20"/>
          <w:lang w:val="en-GB"/>
        </w:rPr>
        <w:t xml:space="preserve"> </w:t>
      </w:r>
      <w:r w:rsidRPr="00013879">
        <w:rPr>
          <w:rFonts w:ascii="Arial" w:hAnsi="Arial" w:cs="Arial"/>
          <w:b/>
          <w:bCs/>
          <w:sz w:val="20"/>
          <w:lang w:val="en-GB"/>
        </w:rPr>
        <w:t>30</w:t>
      </w:r>
      <w:r w:rsidRPr="00013879">
        <w:rPr>
          <w:rFonts w:ascii="Arial" w:hAnsi="Arial" w:cs="Arial"/>
          <w:sz w:val="20"/>
          <w:lang w:val="en-GB"/>
        </w:rPr>
        <w:t>, 2222–2228 (2002).</w:t>
      </w:r>
    </w:p>
    <w:p w14:paraId="0D9779F5" w14:textId="77777777" w:rsidR="00013879" w:rsidRPr="00013879" w:rsidRDefault="00013879">
      <w:pPr>
        <w:pStyle w:val="Bibliography"/>
        <w:spacing w:line="360" w:lineRule="auto"/>
        <w:rPr>
          <w:rFonts w:ascii="Arial" w:hAnsi="Arial" w:cs="Arial"/>
          <w:sz w:val="20"/>
          <w:lang w:val="en-GB"/>
        </w:rPr>
        <w:pPrChange w:id="28" w:author="Cascante Vega, Jaime E." w:date="2023-05-11T12:03:00Z">
          <w:pPr>
            <w:pStyle w:val="Bibliography"/>
          </w:pPr>
        </w:pPrChange>
      </w:pPr>
      <w:r w:rsidRPr="00013879">
        <w:rPr>
          <w:rFonts w:ascii="Arial" w:hAnsi="Arial" w:cs="Arial"/>
          <w:sz w:val="20"/>
          <w:lang w:val="en-GB"/>
        </w:rPr>
        <w:t>25.</w:t>
      </w:r>
      <w:r w:rsidRPr="00013879">
        <w:rPr>
          <w:rFonts w:ascii="Arial" w:hAnsi="Arial" w:cs="Arial"/>
          <w:sz w:val="20"/>
          <w:lang w:val="en-GB"/>
        </w:rPr>
        <w:tab/>
        <w:t xml:space="preserve">Harris, A. D. </w:t>
      </w:r>
      <w:r w:rsidRPr="00013879">
        <w:rPr>
          <w:rFonts w:ascii="Arial" w:hAnsi="Arial" w:cs="Arial"/>
          <w:i/>
          <w:iCs/>
          <w:sz w:val="20"/>
          <w:lang w:val="en-GB"/>
        </w:rPr>
        <w:t>et al.</w:t>
      </w:r>
      <w:r w:rsidRPr="00013879">
        <w:rPr>
          <w:rFonts w:ascii="Arial" w:hAnsi="Arial" w:cs="Arial"/>
          <w:sz w:val="20"/>
          <w:lang w:val="en-GB"/>
        </w:rPr>
        <w:t xml:space="preserve"> How important is patient-to-patient transmission in extended-spectrum β-lactamase Escherichia coli acquisition. </w:t>
      </w:r>
      <w:r w:rsidRPr="00013879">
        <w:rPr>
          <w:rFonts w:ascii="Arial" w:hAnsi="Arial" w:cs="Arial"/>
          <w:i/>
          <w:iCs/>
          <w:sz w:val="20"/>
          <w:lang w:val="en-GB"/>
        </w:rPr>
        <w:t>American Journal of Infection Control</w:t>
      </w:r>
      <w:r w:rsidRPr="00013879">
        <w:rPr>
          <w:rFonts w:ascii="Arial" w:hAnsi="Arial" w:cs="Arial"/>
          <w:sz w:val="20"/>
          <w:lang w:val="en-GB"/>
        </w:rPr>
        <w:t xml:space="preserve"> </w:t>
      </w:r>
      <w:r w:rsidRPr="00013879">
        <w:rPr>
          <w:rFonts w:ascii="Arial" w:hAnsi="Arial" w:cs="Arial"/>
          <w:b/>
          <w:bCs/>
          <w:sz w:val="20"/>
          <w:lang w:val="en-GB"/>
        </w:rPr>
        <w:t>35</w:t>
      </w:r>
      <w:r w:rsidRPr="00013879">
        <w:rPr>
          <w:rFonts w:ascii="Arial" w:hAnsi="Arial" w:cs="Arial"/>
          <w:sz w:val="20"/>
          <w:lang w:val="en-GB"/>
        </w:rPr>
        <w:t>, 97–101 (2007).</w:t>
      </w:r>
    </w:p>
    <w:p w14:paraId="072E5B83" w14:textId="77777777" w:rsidR="00013879" w:rsidRPr="00013879" w:rsidRDefault="00013879">
      <w:pPr>
        <w:pStyle w:val="Bibliography"/>
        <w:spacing w:line="360" w:lineRule="auto"/>
        <w:rPr>
          <w:rFonts w:ascii="Arial" w:hAnsi="Arial" w:cs="Arial"/>
          <w:sz w:val="20"/>
          <w:lang w:val="en-GB"/>
        </w:rPr>
        <w:pPrChange w:id="29" w:author="Cascante Vega, Jaime E." w:date="2023-05-11T12:03:00Z">
          <w:pPr>
            <w:pStyle w:val="Bibliography"/>
          </w:pPr>
        </w:pPrChange>
      </w:pPr>
      <w:r w:rsidRPr="00013879">
        <w:rPr>
          <w:rFonts w:ascii="Arial" w:hAnsi="Arial" w:cs="Arial"/>
          <w:sz w:val="20"/>
          <w:lang w:val="en-GB"/>
        </w:rPr>
        <w:t>26.</w:t>
      </w:r>
      <w:r w:rsidRPr="00013879">
        <w:rPr>
          <w:rFonts w:ascii="Arial" w:hAnsi="Arial" w:cs="Arial"/>
          <w:sz w:val="20"/>
          <w:lang w:val="en-GB"/>
        </w:rPr>
        <w:tab/>
        <w:t xml:space="preserve">Lu, D., Aleta, A. &amp; Moreno, Y. Assessing the Risk of Spatial Spreading of Diseases in Hospitals. </w:t>
      </w:r>
      <w:r w:rsidRPr="00013879">
        <w:rPr>
          <w:rFonts w:ascii="Arial" w:hAnsi="Arial" w:cs="Arial"/>
          <w:i/>
          <w:iCs/>
          <w:sz w:val="20"/>
          <w:lang w:val="en-GB"/>
        </w:rPr>
        <w:t>Front. Phys.</w:t>
      </w:r>
      <w:r w:rsidRPr="00013879">
        <w:rPr>
          <w:rFonts w:ascii="Arial" w:hAnsi="Arial" w:cs="Arial"/>
          <w:sz w:val="20"/>
          <w:lang w:val="en-GB"/>
        </w:rPr>
        <w:t xml:space="preserve"> </w:t>
      </w:r>
      <w:r w:rsidRPr="00013879">
        <w:rPr>
          <w:rFonts w:ascii="Arial" w:hAnsi="Arial" w:cs="Arial"/>
          <w:b/>
          <w:bCs/>
          <w:sz w:val="20"/>
          <w:lang w:val="en-GB"/>
        </w:rPr>
        <w:t>10</w:t>
      </w:r>
      <w:r w:rsidRPr="00013879">
        <w:rPr>
          <w:rFonts w:ascii="Arial" w:hAnsi="Arial" w:cs="Arial"/>
          <w:sz w:val="20"/>
          <w:lang w:val="en-GB"/>
        </w:rPr>
        <w:t>, 882314 (2022).</w:t>
      </w:r>
    </w:p>
    <w:p w14:paraId="18796A36" w14:textId="77777777" w:rsidR="00013879" w:rsidRPr="00013879" w:rsidRDefault="00013879">
      <w:pPr>
        <w:pStyle w:val="Bibliography"/>
        <w:spacing w:line="360" w:lineRule="auto"/>
        <w:rPr>
          <w:rFonts w:ascii="Arial" w:hAnsi="Arial" w:cs="Arial"/>
          <w:sz w:val="20"/>
          <w:lang w:val="en-GB"/>
        </w:rPr>
        <w:pPrChange w:id="30" w:author="Cascante Vega, Jaime E." w:date="2023-05-11T12:03:00Z">
          <w:pPr>
            <w:pStyle w:val="Bibliography"/>
          </w:pPr>
        </w:pPrChange>
      </w:pPr>
      <w:r w:rsidRPr="00013879">
        <w:rPr>
          <w:rFonts w:ascii="Arial" w:hAnsi="Arial" w:cs="Arial"/>
          <w:sz w:val="20"/>
          <w:lang w:val="en-GB"/>
        </w:rPr>
        <w:t>27.</w:t>
      </w:r>
      <w:r w:rsidRPr="00013879">
        <w:rPr>
          <w:rFonts w:ascii="Arial" w:hAnsi="Arial" w:cs="Arial"/>
          <w:sz w:val="20"/>
          <w:lang w:val="en-GB"/>
        </w:rPr>
        <w:tab/>
        <w:t xml:space="preserve">Miller, M. </w:t>
      </w:r>
      <w:r w:rsidRPr="00013879">
        <w:rPr>
          <w:rFonts w:ascii="Arial" w:hAnsi="Arial" w:cs="Arial"/>
          <w:i/>
          <w:iCs/>
          <w:sz w:val="20"/>
          <w:lang w:val="en-GB"/>
        </w:rPr>
        <w:t>et al.</w:t>
      </w:r>
      <w:r w:rsidRPr="00013879">
        <w:rPr>
          <w:rFonts w:ascii="Arial" w:hAnsi="Arial" w:cs="Arial"/>
          <w:sz w:val="20"/>
          <w:lang w:val="en-GB"/>
        </w:rPr>
        <w:t xml:space="preserve"> Staphylococcus aureus in the Community: Colonization Versus Infection. </w:t>
      </w:r>
      <w:r w:rsidRPr="00013879">
        <w:rPr>
          <w:rFonts w:ascii="Arial" w:hAnsi="Arial" w:cs="Arial"/>
          <w:i/>
          <w:iCs/>
          <w:sz w:val="20"/>
          <w:lang w:val="en-GB"/>
        </w:rPr>
        <w:t>PLoS ONE</w:t>
      </w:r>
      <w:r w:rsidRPr="00013879">
        <w:rPr>
          <w:rFonts w:ascii="Arial" w:hAnsi="Arial" w:cs="Arial"/>
          <w:sz w:val="20"/>
          <w:lang w:val="en-GB"/>
        </w:rPr>
        <w:t xml:space="preserve"> </w:t>
      </w:r>
      <w:r w:rsidRPr="00013879">
        <w:rPr>
          <w:rFonts w:ascii="Arial" w:hAnsi="Arial" w:cs="Arial"/>
          <w:b/>
          <w:bCs/>
          <w:sz w:val="20"/>
          <w:lang w:val="en-GB"/>
        </w:rPr>
        <w:t>4</w:t>
      </w:r>
      <w:r w:rsidRPr="00013879">
        <w:rPr>
          <w:rFonts w:ascii="Arial" w:hAnsi="Arial" w:cs="Arial"/>
          <w:sz w:val="20"/>
          <w:lang w:val="en-GB"/>
        </w:rPr>
        <w:t>, e6708 (2009).</w:t>
      </w:r>
    </w:p>
    <w:p w14:paraId="04EC673F" w14:textId="77777777" w:rsidR="00013879" w:rsidRPr="00013879" w:rsidRDefault="00013879">
      <w:pPr>
        <w:pStyle w:val="Bibliography"/>
        <w:spacing w:line="360" w:lineRule="auto"/>
        <w:rPr>
          <w:rFonts w:ascii="Arial" w:hAnsi="Arial" w:cs="Arial"/>
          <w:sz w:val="20"/>
          <w:lang w:val="en-GB"/>
        </w:rPr>
        <w:pPrChange w:id="31" w:author="Cascante Vega, Jaime E." w:date="2023-05-11T12:03:00Z">
          <w:pPr>
            <w:pStyle w:val="Bibliography"/>
          </w:pPr>
        </w:pPrChange>
      </w:pPr>
      <w:r w:rsidRPr="00013879">
        <w:rPr>
          <w:rFonts w:ascii="Arial" w:hAnsi="Arial" w:cs="Arial"/>
          <w:sz w:val="20"/>
          <w:lang w:val="en-GB"/>
        </w:rPr>
        <w:t>28.</w:t>
      </w:r>
      <w:r w:rsidRPr="00013879">
        <w:rPr>
          <w:rFonts w:ascii="Arial" w:hAnsi="Arial" w:cs="Arial"/>
          <w:sz w:val="20"/>
          <w:lang w:val="en-GB"/>
        </w:rPr>
        <w:tab/>
        <w:t xml:space="preserve">Sakr, A., Brégeon, F., Mège, J.-L., Rolain, J.-M. &amp; Blin, O. Staphylococcus aureus Nasal Colonization: An Update on Mechanisms, Epidemiology, Risk Factors, and Subsequent Infections. </w:t>
      </w:r>
      <w:r w:rsidRPr="00013879">
        <w:rPr>
          <w:rFonts w:ascii="Arial" w:hAnsi="Arial" w:cs="Arial"/>
          <w:i/>
          <w:iCs/>
          <w:sz w:val="20"/>
          <w:lang w:val="en-GB"/>
        </w:rPr>
        <w:t>Front. Microbiol.</w:t>
      </w:r>
      <w:r w:rsidRPr="00013879">
        <w:rPr>
          <w:rFonts w:ascii="Arial" w:hAnsi="Arial" w:cs="Arial"/>
          <w:sz w:val="20"/>
          <w:lang w:val="en-GB"/>
        </w:rPr>
        <w:t xml:space="preserve"> </w:t>
      </w:r>
      <w:r w:rsidRPr="00013879">
        <w:rPr>
          <w:rFonts w:ascii="Arial" w:hAnsi="Arial" w:cs="Arial"/>
          <w:b/>
          <w:bCs/>
          <w:sz w:val="20"/>
          <w:lang w:val="en-GB"/>
        </w:rPr>
        <w:t>9</w:t>
      </w:r>
      <w:r w:rsidRPr="00013879">
        <w:rPr>
          <w:rFonts w:ascii="Arial" w:hAnsi="Arial" w:cs="Arial"/>
          <w:sz w:val="20"/>
          <w:lang w:val="en-GB"/>
        </w:rPr>
        <w:t>, 2419 (2018).</w:t>
      </w:r>
    </w:p>
    <w:p w14:paraId="7C419641" w14:textId="77777777" w:rsidR="00013879" w:rsidRPr="00013879" w:rsidRDefault="00013879">
      <w:pPr>
        <w:pStyle w:val="Bibliography"/>
        <w:spacing w:line="360" w:lineRule="auto"/>
        <w:rPr>
          <w:rFonts w:ascii="Arial" w:hAnsi="Arial" w:cs="Arial"/>
          <w:sz w:val="20"/>
          <w:lang w:val="en-GB"/>
        </w:rPr>
        <w:pPrChange w:id="32" w:author="Cascante Vega, Jaime E." w:date="2023-05-11T12:03:00Z">
          <w:pPr>
            <w:pStyle w:val="Bibliography"/>
          </w:pPr>
        </w:pPrChange>
      </w:pPr>
      <w:r w:rsidRPr="00013879">
        <w:rPr>
          <w:rFonts w:ascii="Arial" w:hAnsi="Arial" w:cs="Arial"/>
          <w:sz w:val="20"/>
          <w:lang w:val="en-GB"/>
        </w:rPr>
        <w:t>29.</w:t>
      </w:r>
      <w:r w:rsidRPr="00013879">
        <w:rPr>
          <w:rFonts w:ascii="Arial" w:hAnsi="Arial" w:cs="Arial"/>
          <w:sz w:val="20"/>
          <w:lang w:val="en-GB"/>
        </w:rPr>
        <w:tab/>
        <w:t xml:space="preserve">Anderson, J. L. An Ensemble Adjustment Kalman Filter for Data Assimilation. </w:t>
      </w:r>
      <w:r w:rsidRPr="00013879">
        <w:rPr>
          <w:rFonts w:ascii="Arial" w:hAnsi="Arial" w:cs="Arial"/>
          <w:i/>
          <w:iCs/>
          <w:sz w:val="20"/>
          <w:lang w:val="en-GB"/>
        </w:rPr>
        <w:t>Mon. Wea. Rev.</w:t>
      </w:r>
      <w:r w:rsidRPr="00013879">
        <w:rPr>
          <w:rFonts w:ascii="Arial" w:hAnsi="Arial" w:cs="Arial"/>
          <w:sz w:val="20"/>
          <w:lang w:val="en-GB"/>
        </w:rPr>
        <w:t xml:space="preserve"> </w:t>
      </w:r>
      <w:r w:rsidRPr="00013879">
        <w:rPr>
          <w:rFonts w:ascii="Arial" w:hAnsi="Arial" w:cs="Arial"/>
          <w:b/>
          <w:bCs/>
          <w:sz w:val="20"/>
          <w:lang w:val="en-GB"/>
        </w:rPr>
        <w:t>129</w:t>
      </w:r>
      <w:r w:rsidRPr="00013879">
        <w:rPr>
          <w:rFonts w:ascii="Arial" w:hAnsi="Arial" w:cs="Arial"/>
          <w:sz w:val="20"/>
          <w:lang w:val="en-GB"/>
        </w:rPr>
        <w:t>, 2884–2903 (2001).</w:t>
      </w:r>
    </w:p>
    <w:p w14:paraId="7B2E288E" w14:textId="77777777" w:rsidR="00013879" w:rsidRPr="00013879" w:rsidRDefault="00013879">
      <w:pPr>
        <w:pStyle w:val="Bibliography"/>
        <w:spacing w:line="360" w:lineRule="auto"/>
        <w:rPr>
          <w:rFonts w:ascii="Arial" w:hAnsi="Arial" w:cs="Arial"/>
          <w:sz w:val="20"/>
          <w:lang w:val="en-GB"/>
        </w:rPr>
        <w:pPrChange w:id="33" w:author="Cascante Vega, Jaime E." w:date="2023-05-11T12:03:00Z">
          <w:pPr>
            <w:pStyle w:val="Bibliography"/>
          </w:pPr>
        </w:pPrChange>
      </w:pPr>
      <w:r w:rsidRPr="00013879">
        <w:rPr>
          <w:rFonts w:ascii="Arial" w:hAnsi="Arial" w:cs="Arial"/>
          <w:sz w:val="20"/>
          <w:lang w:val="en-GB"/>
        </w:rPr>
        <w:t>30.</w:t>
      </w:r>
      <w:r w:rsidRPr="00013879">
        <w:rPr>
          <w:rFonts w:ascii="Arial" w:hAnsi="Arial" w:cs="Arial"/>
          <w:sz w:val="20"/>
          <w:lang w:val="en-GB"/>
        </w:rPr>
        <w:tab/>
        <w:t xml:space="preserve">Arulampalam, M. S., Maskell, S., Gordon, N. &amp; Clapp, T. A tutorial on particle filters for online nonlinear/non-Gaussian Bayesian tracking. </w:t>
      </w:r>
      <w:r w:rsidRPr="00013879">
        <w:rPr>
          <w:rFonts w:ascii="Arial" w:hAnsi="Arial" w:cs="Arial"/>
          <w:i/>
          <w:iCs/>
          <w:sz w:val="20"/>
          <w:lang w:val="en-GB"/>
        </w:rPr>
        <w:t>IEEE Trans. Signal Process.</w:t>
      </w:r>
      <w:r w:rsidRPr="00013879">
        <w:rPr>
          <w:rFonts w:ascii="Arial" w:hAnsi="Arial" w:cs="Arial"/>
          <w:sz w:val="20"/>
          <w:lang w:val="en-GB"/>
        </w:rPr>
        <w:t xml:space="preserve"> </w:t>
      </w:r>
      <w:r w:rsidRPr="00013879">
        <w:rPr>
          <w:rFonts w:ascii="Arial" w:hAnsi="Arial" w:cs="Arial"/>
          <w:b/>
          <w:bCs/>
          <w:sz w:val="20"/>
          <w:lang w:val="en-GB"/>
        </w:rPr>
        <w:t>50</w:t>
      </w:r>
      <w:r w:rsidRPr="00013879">
        <w:rPr>
          <w:rFonts w:ascii="Arial" w:hAnsi="Arial" w:cs="Arial"/>
          <w:sz w:val="20"/>
          <w:lang w:val="en-GB"/>
        </w:rPr>
        <w:t>, 174–188 (2002).</w:t>
      </w:r>
    </w:p>
    <w:p w14:paraId="34D6D3FC" w14:textId="77777777" w:rsidR="00013879" w:rsidRPr="00013879" w:rsidRDefault="00013879">
      <w:pPr>
        <w:pStyle w:val="Bibliography"/>
        <w:spacing w:line="360" w:lineRule="auto"/>
        <w:rPr>
          <w:rFonts w:ascii="Arial" w:hAnsi="Arial" w:cs="Arial"/>
          <w:sz w:val="20"/>
          <w:lang w:val="en-GB"/>
        </w:rPr>
        <w:pPrChange w:id="34" w:author="Cascante Vega, Jaime E." w:date="2023-05-11T12:03:00Z">
          <w:pPr>
            <w:pStyle w:val="Bibliography"/>
          </w:pPr>
        </w:pPrChange>
      </w:pPr>
      <w:r w:rsidRPr="00013879">
        <w:rPr>
          <w:rFonts w:ascii="Arial" w:hAnsi="Arial" w:cs="Arial"/>
          <w:sz w:val="20"/>
          <w:lang w:val="en-GB"/>
        </w:rPr>
        <w:t>31.</w:t>
      </w:r>
      <w:r w:rsidRPr="00013879">
        <w:rPr>
          <w:rFonts w:ascii="Arial" w:hAnsi="Arial" w:cs="Arial"/>
          <w:sz w:val="20"/>
          <w:lang w:val="en-GB"/>
        </w:rPr>
        <w:tab/>
        <w:t xml:space="preserve">Subramanian, R., He, Q. &amp; Pascual, M. Quantifying asymptomatic infection and transmission of COVID-19 in New York City using observed cases, serology, and testing capacity. </w:t>
      </w:r>
      <w:r w:rsidRPr="00013879">
        <w:rPr>
          <w:rFonts w:ascii="Arial" w:hAnsi="Arial" w:cs="Arial"/>
          <w:i/>
          <w:iCs/>
          <w:sz w:val="20"/>
          <w:lang w:val="en-GB"/>
        </w:rPr>
        <w:t>PNAS</w:t>
      </w:r>
      <w:r w:rsidRPr="00013879">
        <w:rPr>
          <w:rFonts w:ascii="Arial" w:hAnsi="Arial" w:cs="Arial"/>
          <w:sz w:val="20"/>
          <w:lang w:val="en-GB"/>
        </w:rPr>
        <w:t xml:space="preserve"> </w:t>
      </w:r>
      <w:r w:rsidRPr="00013879">
        <w:rPr>
          <w:rFonts w:ascii="Arial" w:hAnsi="Arial" w:cs="Arial"/>
          <w:b/>
          <w:bCs/>
          <w:sz w:val="20"/>
          <w:lang w:val="en-GB"/>
        </w:rPr>
        <w:t>118</w:t>
      </w:r>
      <w:r w:rsidRPr="00013879">
        <w:rPr>
          <w:rFonts w:ascii="Arial" w:hAnsi="Arial" w:cs="Arial"/>
          <w:sz w:val="20"/>
          <w:lang w:val="en-GB"/>
        </w:rPr>
        <w:t>, (2021).</w:t>
      </w:r>
    </w:p>
    <w:p w14:paraId="308F42E3" w14:textId="77777777" w:rsidR="00013879" w:rsidRPr="00013879" w:rsidRDefault="00013879">
      <w:pPr>
        <w:pStyle w:val="Bibliography"/>
        <w:spacing w:line="360" w:lineRule="auto"/>
        <w:rPr>
          <w:rFonts w:ascii="Arial" w:hAnsi="Arial" w:cs="Arial"/>
          <w:sz w:val="20"/>
          <w:lang w:val="en-GB"/>
        </w:rPr>
        <w:pPrChange w:id="35" w:author="Cascante Vega, Jaime E." w:date="2023-05-11T12:03:00Z">
          <w:pPr>
            <w:pStyle w:val="Bibliography"/>
          </w:pPr>
        </w:pPrChange>
      </w:pPr>
      <w:r w:rsidRPr="00013879">
        <w:rPr>
          <w:rFonts w:ascii="Arial" w:hAnsi="Arial" w:cs="Arial"/>
          <w:sz w:val="20"/>
          <w:lang w:val="en-GB"/>
        </w:rPr>
        <w:t>32.</w:t>
      </w:r>
      <w:r w:rsidRPr="00013879">
        <w:rPr>
          <w:rFonts w:ascii="Arial" w:hAnsi="Arial" w:cs="Arial"/>
          <w:sz w:val="20"/>
          <w:lang w:val="en-GB"/>
        </w:rPr>
        <w:tab/>
        <w:t xml:space="preserve">Romeo-Aznar, V., Picinini Freitas, L., Gonçalves Cruz, O., King, A. A. &amp; Pascual, M. Fine-scale heterogeneity in population density predicts wave dynamics in dengue epidemics.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996 (2022).</w:t>
      </w:r>
    </w:p>
    <w:p w14:paraId="0305DE3A" w14:textId="77777777" w:rsidR="00013879" w:rsidRPr="00013879" w:rsidRDefault="00013879">
      <w:pPr>
        <w:pStyle w:val="Bibliography"/>
        <w:spacing w:line="360" w:lineRule="auto"/>
        <w:rPr>
          <w:rFonts w:ascii="Arial" w:hAnsi="Arial" w:cs="Arial"/>
          <w:sz w:val="20"/>
          <w:lang w:val="en-GB"/>
        </w:rPr>
        <w:pPrChange w:id="36" w:author="Cascante Vega, Jaime E." w:date="2023-05-11T12:03:00Z">
          <w:pPr>
            <w:pStyle w:val="Bibliography"/>
          </w:pPr>
        </w:pPrChange>
      </w:pPr>
      <w:r w:rsidRPr="00013879">
        <w:rPr>
          <w:rFonts w:ascii="Arial" w:hAnsi="Arial" w:cs="Arial"/>
          <w:sz w:val="20"/>
          <w:lang w:val="en-GB"/>
        </w:rPr>
        <w:lastRenderedPageBreak/>
        <w:t>33.</w:t>
      </w:r>
      <w:r w:rsidRPr="00013879">
        <w:rPr>
          <w:rFonts w:ascii="Arial" w:hAnsi="Arial" w:cs="Arial"/>
          <w:sz w:val="20"/>
          <w:lang w:val="en-GB"/>
        </w:rPr>
        <w:tab/>
        <w:t xml:space="preserve">Santos-Vega, M. </w:t>
      </w:r>
      <w:r w:rsidRPr="00013879">
        <w:rPr>
          <w:rFonts w:ascii="Arial" w:hAnsi="Arial" w:cs="Arial"/>
          <w:i/>
          <w:iCs/>
          <w:sz w:val="20"/>
          <w:lang w:val="en-GB"/>
        </w:rPr>
        <w:t>et al.</w:t>
      </w:r>
      <w:r w:rsidRPr="00013879">
        <w:rPr>
          <w:rFonts w:ascii="Arial" w:hAnsi="Arial" w:cs="Arial"/>
          <w:sz w:val="20"/>
          <w:lang w:val="en-GB"/>
        </w:rPr>
        <w:t xml:space="preserve"> The neglected role of relative humidity in the interannual variability of urban malaria in Indian cities.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533 (2022).</w:t>
      </w:r>
    </w:p>
    <w:p w14:paraId="132B0FCB" w14:textId="77777777" w:rsidR="00013879" w:rsidRPr="00013879" w:rsidRDefault="00013879">
      <w:pPr>
        <w:pStyle w:val="Bibliography"/>
        <w:spacing w:line="360" w:lineRule="auto"/>
        <w:rPr>
          <w:rFonts w:ascii="Arial" w:hAnsi="Arial" w:cs="Arial"/>
          <w:sz w:val="20"/>
          <w:lang w:val="en-GB"/>
        </w:rPr>
        <w:pPrChange w:id="37" w:author="Cascante Vega, Jaime E." w:date="2023-05-11T12:03:00Z">
          <w:pPr>
            <w:pStyle w:val="Bibliography"/>
          </w:pPr>
        </w:pPrChange>
      </w:pPr>
      <w:r w:rsidRPr="00013879">
        <w:rPr>
          <w:rFonts w:ascii="Arial" w:hAnsi="Arial" w:cs="Arial"/>
          <w:sz w:val="20"/>
          <w:lang w:val="en-GB"/>
        </w:rPr>
        <w:t>34.</w:t>
      </w:r>
      <w:r w:rsidRPr="00013879">
        <w:rPr>
          <w:rFonts w:ascii="Arial" w:hAnsi="Arial" w:cs="Arial"/>
          <w:sz w:val="20"/>
          <w:lang w:val="en-GB"/>
        </w:rPr>
        <w:tab/>
        <w:t xml:space="preserve">Li, R. </w:t>
      </w:r>
      <w:r w:rsidRPr="00013879">
        <w:rPr>
          <w:rFonts w:ascii="Arial" w:hAnsi="Arial" w:cs="Arial"/>
          <w:i/>
          <w:iCs/>
          <w:sz w:val="20"/>
          <w:lang w:val="en-GB"/>
        </w:rPr>
        <w:t>et al.</w:t>
      </w:r>
      <w:r w:rsidRPr="00013879">
        <w:rPr>
          <w:rFonts w:ascii="Arial" w:hAnsi="Arial" w:cs="Arial"/>
          <w:sz w:val="20"/>
          <w:lang w:val="en-GB"/>
        </w:rPr>
        <w:t xml:space="preserve"> Substantial undocumented infection facilitates the rapid dissemination of novel coronavirus (SARS-CoV-2). </w:t>
      </w:r>
      <w:r w:rsidRPr="00013879">
        <w:rPr>
          <w:rFonts w:ascii="Arial" w:hAnsi="Arial" w:cs="Arial"/>
          <w:i/>
          <w:iCs/>
          <w:sz w:val="20"/>
          <w:lang w:val="en-GB"/>
        </w:rPr>
        <w:t>Science</w:t>
      </w:r>
      <w:r w:rsidRPr="00013879">
        <w:rPr>
          <w:rFonts w:ascii="Arial" w:hAnsi="Arial" w:cs="Arial"/>
          <w:sz w:val="20"/>
          <w:lang w:val="en-GB"/>
        </w:rPr>
        <w:t xml:space="preserve"> </w:t>
      </w:r>
      <w:r w:rsidRPr="00013879">
        <w:rPr>
          <w:rFonts w:ascii="Arial" w:hAnsi="Arial" w:cs="Arial"/>
          <w:b/>
          <w:bCs/>
          <w:sz w:val="20"/>
          <w:lang w:val="en-GB"/>
        </w:rPr>
        <w:t>368</w:t>
      </w:r>
      <w:r w:rsidRPr="00013879">
        <w:rPr>
          <w:rFonts w:ascii="Arial" w:hAnsi="Arial" w:cs="Arial"/>
          <w:sz w:val="20"/>
          <w:lang w:val="en-GB"/>
        </w:rPr>
        <w:t>, 489–493 (2020).</w:t>
      </w:r>
    </w:p>
    <w:p w14:paraId="7609A57A" w14:textId="77777777" w:rsidR="00013879" w:rsidRPr="00013879" w:rsidRDefault="00013879">
      <w:pPr>
        <w:pStyle w:val="Bibliography"/>
        <w:spacing w:line="360" w:lineRule="auto"/>
        <w:rPr>
          <w:rFonts w:ascii="Arial" w:hAnsi="Arial" w:cs="Arial"/>
          <w:sz w:val="20"/>
          <w:lang w:val="en-GB"/>
        </w:rPr>
        <w:pPrChange w:id="38" w:author="Cascante Vega, Jaime E." w:date="2023-05-11T12:03:00Z">
          <w:pPr>
            <w:pStyle w:val="Bibliography"/>
          </w:pPr>
        </w:pPrChange>
      </w:pPr>
      <w:r w:rsidRPr="00013879">
        <w:rPr>
          <w:rFonts w:ascii="Arial" w:hAnsi="Arial" w:cs="Arial"/>
          <w:sz w:val="20"/>
          <w:lang w:val="en-GB"/>
        </w:rPr>
        <w:t>35.</w:t>
      </w:r>
      <w:r w:rsidRPr="00013879">
        <w:rPr>
          <w:rFonts w:ascii="Arial" w:hAnsi="Arial" w:cs="Arial"/>
          <w:sz w:val="20"/>
          <w:lang w:val="en-GB"/>
        </w:rPr>
        <w:tab/>
        <w:t xml:space="preserve">Pei, S. &amp; Shaman, J. Aggregating forecasts of multiple respiratory pathogens supports more accurate forecasting of influenza-like illness.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16</w:t>
      </w:r>
      <w:r w:rsidRPr="00013879">
        <w:rPr>
          <w:rFonts w:ascii="Arial" w:hAnsi="Arial" w:cs="Arial"/>
          <w:sz w:val="20"/>
          <w:lang w:val="en-GB"/>
        </w:rPr>
        <w:t>, e1008301 (2020).</w:t>
      </w:r>
    </w:p>
    <w:p w14:paraId="6B1E3C25" w14:textId="77777777" w:rsidR="00013879" w:rsidRPr="00013879" w:rsidRDefault="00013879">
      <w:pPr>
        <w:pStyle w:val="Bibliography"/>
        <w:spacing w:line="360" w:lineRule="auto"/>
        <w:rPr>
          <w:rFonts w:ascii="Arial" w:hAnsi="Arial" w:cs="Arial"/>
          <w:sz w:val="20"/>
          <w:lang w:val="en-GB"/>
        </w:rPr>
        <w:pPrChange w:id="39" w:author="Cascante Vega, Jaime E." w:date="2023-05-11T12:03:00Z">
          <w:pPr>
            <w:pStyle w:val="Bibliography"/>
          </w:pPr>
        </w:pPrChange>
      </w:pPr>
      <w:r w:rsidRPr="00013879">
        <w:rPr>
          <w:rFonts w:ascii="Arial" w:hAnsi="Arial" w:cs="Arial"/>
          <w:sz w:val="20"/>
          <w:lang w:val="en-GB"/>
        </w:rPr>
        <w:t>36.</w:t>
      </w:r>
      <w:r w:rsidRPr="00013879">
        <w:rPr>
          <w:rFonts w:ascii="Arial" w:hAnsi="Arial" w:cs="Arial"/>
          <w:sz w:val="20"/>
          <w:lang w:val="en-GB"/>
        </w:rPr>
        <w:tab/>
        <w:t xml:space="preserve">Pei, S., Teng, X., Lewis, P. &amp; Shaman, J. Optimizing respiratory virus surveillance networks using uncertainty propagation.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12</w:t>
      </w:r>
      <w:r w:rsidRPr="00013879">
        <w:rPr>
          <w:rFonts w:ascii="Arial" w:hAnsi="Arial" w:cs="Arial"/>
          <w:sz w:val="20"/>
          <w:lang w:val="en-GB"/>
        </w:rPr>
        <w:t>, 222 (2021).</w:t>
      </w:r>
    </w:p>
    <w:p w14:paraId="01F636FB" w14:textId="77777777" w:rsidR="00013879" w:rsidRPr="00013879" w:rsidRDefault="00013879">
      <w:pPr>
        <w:pStyle w:val="Bibliography"/>
        <w:spacing w:line="360" w:lineRule="auto"/>
        <w:rPr>
          <w:rFonts w:ascii="Arial" w:hAnsi="Arial" w:cs="Arial"/>
          <w:sz w:val="20"/>
          <w:lang w:val="en-GB"/>
        </w:rPr>
        <w:pPrChange w:id="40" w:author="Cascante Vega, Jaime E." w:date="2023-05-11T12:03:00Z">
          <w:pPr>
            <w:pStyle w:val="Bibliography"/>
          </w:pPr>
        </w:pPrChange>
      </w:pPr>
      <w:r w:rsidRPr="00013879">
        <w:rPr>
          <w:rFonts w:ascii="Arial" w:hAnsi="Arial" w:cs="Arial"/>
          <w:sz w:val="20"/>
          <w:lang w:val="en-GB"/>
        </w:rPr>
        <w:t>37.</w:t>
      </w:r>
      <w:r w:rsidRPr="00013879">
        <w:rPr>
          <w:rFonts w:ascii="Arial" w:hAnsi="Arial" w:cs="Arial"/>
          <w:sz w:val="20"/>
          <w:lang w:val="en-GB"/>
        </w:rPr>
        <w:tab/>
        <w:t xml:space="preserve">Pei, S., Cane, M. A. &amp; Shaman, J. Predictability in process-based ensemble forecast of influenza.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15</w:t>
      </w:r>
      <w:r w:rsidRPr="00013879">
        <w:rPr>
          <w:rFonts w:ascii="Arial" w:hAnsi="Arial" w:cs="Arial"/>
          <w:sz w:val="20"/>
          <w:lang w:val="en-GB"/>
        </w:rPr>
        <w:t>, e1006783 (2019).</w:t>
      </w:r>
    </w:p>
    <w:p w14:paraId="5DA7DF13" w14:textId="77777777" w:rsidR="00013879" w:rsidRPr="00013879" w:rsidRDefault="00013879">
      <w:pPr>
        <w:pStyle w:val="Bibliography"/>
        <w:spacing w:line="360" w:lineRule="auto"/>
        <w:rPr>
          <w:rFonts w:ascii="Arial" w:hAnsi="Arial" w:cs="Arial"/>
          <w:sz w:val="20"/>
          <w:lang w:val="en-GB"/>
        </w:rPr>
        <w:pPrChange w:id="41" w:author="Cascante Vega, Jaime E." w:date="2023-05-11T12:03:00Z">
          <w:pPr>
            <w:pStyle w:val="Bibliography"/>
          </w:pPr>
        </w:pPrChange>
      </w:pPr>
      <w:r w:rsidRPr="00013879">
        <w:rPr>
          <w:rFonts w:ascii="Arial" w:hAnsi="Arial" w:cs="Arial"/>
          <w:sz w:val="20"/>
          <w:lang w:val="en-GB"/>
        </w:rPr>
        <w:t>38.</w:t>
      </w:r>
      <w:r w:rsidRPr="00013879">
        <w:rPr>
          <w:rFonts w:ascii="Arial" w:hAnsi="Arial" w:cs="Arial"/>
          <w:sz w:val="20"/>
          <w:lang w:val="en-GB"/>
        </w:rPr>
        <w:tab/>
        <w:t xml:space="preserve">Park, S. W. </w:t>
      </w:r>
      <w:r w:rsidRPr="00013879">
        <w:rPr>
          <w:rFonts w:ascii="Arial" w:hAnsi="Arial" w:cs="Arial"/>
          <w:i/>
          <w:iCs/>
          <w:sz w:val="20"/>
          <w:lang w:val="en-GB"/>
        </w:rPr>
        <w:t>et al.</w:t>
      </w:r>
      <w:r w:rsidRPr="00013879">
        <w:rPr>
          <w:rFonts w:ascii="Arial" w:hAnsi="Arial" w:cs="Arial"/>
          <w:sz w:val="20"/>
          <w:lang w:val="en-GB"/>
        </w:rPr>
        <w:t xml:space="preserve"> Epidemiological dynamics of enterovirus D68 in the United States and implications for acute flaccid myelitis. </w:t>
      </w:r>
      <w:r w:rsidRPr="00013879">
        <w:rPr>
          <w:rFonts w:ascii="Arial" w:hAnsi="Arial" w:cs="Arial"/>
          <w:i/>
          <w:iCs/>
          <w:sz w:val="20"/>
          <w:lang w:val="en-GB"/>
        </w:rPr>
        <w:t>Sci. Transl. Med.</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eabd2400 (2021).</w:t>
      </w:r>
    </w:p>
    <w:p w14:paraId="0C25B5F9" w14:textId="77777777" w:rsidR="00013879" w:rsidRPr="00013879" w:rsidRDefault="00013879">
      <w:pPr>
        <w:pStyle w:val="Bibliography"/>
        <w:spacing w:line="360" w:lineRule="auto"/>
        <w:rPr>
          <w:rFonts w:ascii="Arial" w:hAnsi="Arial" w:cs="Arial"/>
          <w:sz w:val="20"/>
          <w:lang w:val="en-GB"/>
        </w:rPr>
        <w:pPrChange w:id="42" w:author="Cascante Vega, Jaime E." w:date="2023-05-11T12:03:00Z">
          <w:pPr>
            <w:pStyle w:val="Bibliography"/>
          </w:pPr>
        </w:pPrChange>
      </w:pPr>
      <w:r w:rsidRPr="00013879">
        <w:rPr>
          <w:rFonts w:ascii="Arial" w:hAnsi="Arial" w:cs="Arial"/>
          <w:sz w:val="20"/>
          <w:lang w:val="en-GB"/>
        </w:rPr>
        <w:t>39.</w:t>
      </w:r>
      <w:r w:rsidRPr="00013879">
        <w:rPr>
          <w:rFonts w:ascii="Arial" w:hAnsi="Arial" w:cs="Arial"/>
          <w:sz w:val="20"/>
          <w:lang w:val="en-GB"/>
        </w:rPr>
        <w:tab/>
        <w:t xml:space="preserve">Yang, W. </w:t>
      </w:r>
      <w:r w:rsidRPr="00013879">
        <w:rPr>
          <w:rFonts w:ascii="Arial" w:hAnsi="Arial" w:cs="Arial"/>
          <w:i/>
          <w:iCs/>
          <w:sz w:val="20"/>
          <w:lang w:val="en-GB"/>
        </w:rPr>
        <w:t>et al.</w:t>
      </w:r>
      <w:r w:rsidRPr="00013879">
        <w:rPr>
          <w:rFonts w:ascii="Arial" w:hAnsi="Arial" w:cs="Arial"/>
          <w:sz w:val="20"/>
          <w:lang w:val="en-GB"/>
        </w:rPr>
        <w:t xml:space="preserve"> Estimating the infection-fatality risk of SARS-CoV-2 in New York City during the spring 2020 pandemic wave: a model-based analysis. </w:t>
      </w:r>
      <w:r w:rsidRPr="00013879">
        <w:rPr>
          <w:rFonts w:ascii="Arial" w:hAnsi="Arial" w:cs="Arial"/>
          <w:i/>
          <w:iCs/>
          <w:sz w:val="20"/>
          <w:lang w:val="en-GB"/>
        </w:rPr>
        <w:t>The Lancet Infectious Diseases</w:t>
      </w:r>
      <w:r w:rsidRPr="00013879">
        <w:rPr>
          <w:rFonts w:ascii="Arial" w:hAnsi="Arial" w:cs="Arial"/>
          <w:sz w:val="20"/>
          <w:lang w:val="en-GB"/>
        </w:rPr>
        <w:t xml:space="preserve"> </w:t>
      </w:r>
      <w:r w:rsidRPr="00013879">
        <w:rPr>
          <w:rFonts w:ascii="Arial" w:hAnsi="Arial" w:cs="Arial"/>
          <w:b/>
          <w:bCs/>
          <w:sz w:val="20"/>
          <w:lang w:val="en-GB"/>
        </w:rPr>
        <w:t>21</w:t>
      </w:r>
      <w:r w:rsidRPr="00013879">
        <w:rPr>
          <w:rFonts w:ascii="Arial" w:hAnsi="Arial" w:cs="Arial"/>
          <w:sz w:val="20"/>
          <w:lang w:val="en-GB"/>
        </w:rPr>
        <w:t>, 203–212 (2021).</w:t>
      </w:r>
    </w:p>
    <w:p w14:paraId="1DC2C250" w14:textId="77777777" w:rsidR="00013879" w:rsidRPr="00013879" w:rsidRDefault="00013879">
      <w:pPr>
        <w:pStyle w:val="Bibliography"/>
        <w:spacing w:line="360" w:lineRule="auto"/>
        <w:rPr>
          <w:rFonts w:ascii="Arial" w:hAnsi="Arial" w:cs="Arial"/>
          <w:sz w:val="20"/>
          <w:lang w:val="en-GB"/>
        </w:rPr>
        <w:pPrChange w:id="43" w:author="Cascante Vega, Jaime E." w:date="2023-05-11T12:03:00Z">
          <w:pPr>
            <w:pStyle w:val="Bibliography"/>
          </w:pPr>
        </w:pPrChange>
      </w:pPr>
      <w:r w:rsidRPr="00013879">
        <w:rPr>
          <w:rFonts w:ascii="Arial" w:hAnsi="Arial" w:cs="Arial"/>
          <w:sz w:val="20"/>
          <w:lang w:val="en-GB"/>
        </w:rPr>
        <w:t>40.</w:t>
      </w:r>
      <w:r w:rsidRPr="00013879">
        <w:rPr>
          <w:rFonts w:ascii="Arial" w:hAnsi="Arial" w:cs="Arial"/>
          <w:sz w:val="20"/>
          <w:lang w:val="en-GB"/>
        </w:rPr>
        <w:tab/>
        <w:t xml:space="preserve">Ukawuba, I. &amp; Shaman, J. Inference and dynamic simulation of malaria using a simple climate-driven entomological model of malaria transmission.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18</w:t>
      </w:r>
      <w:r w:rsidRPr="00013879">
        <w:rPr>
          <w:rFonts w:ascii="Arial" w:hAnsi="Arial" w:cs="Arial"/>
          <w:sz w:val="20"/>
          <w:lang w:val="en-GB"/>
        </w:rPr>
        <w:t>, e1010161 (2022).</w:t>
      </w:r>
    </w:p>
    <w:p w14:paraId="53A53B06" w14:textId="77777777" w:rsidR="00013879" w:rsidRPr="00013879" w:rsidRDefault="00013879">
      <w:pPr>
        <w:pStyle w:val="Bibliography"/>
        <w:spacing w:line="360" w:lineRule="auto"/>
        <w:rPr>
          <w:rFonts w:ascii="Arial" w:hAnsi="Arial" w:cs="Arial"/>
          <w:sz w:val="20"/>
          <w:lang w:val="en-GB"/>
        </w:rPr>
        <w:pPrChange w:id="44" w:author="Cascante Vega, Jaime E." w:date="2023-05-11T12:03:00Z">
          <w:pPr>
            <w:pStyle w:val="Bibliography"/>
          </w:pPr>
        </w:pPrChange>
      </w:pPr>
      <w:r w:rsidRPr="00013879">
        <w:rPr>
          <w:rFonts w:ascii="Arial" w:hAnsi="Arial" w:cs="Arial"/>
          <w:sz w:val="20"/>
          <w:lang w:val="en-GB"/>
        </w:rPr>
        <w:t>41.</w:t>
      </w:r>
      <w:r w:rsidRPr="00013879">
        <w:rPr>
          <w:rFonts w:ascii="Arial" w:hAnsi="Arial" w:cs="Arial"/>
          <w:sz w:val="20"/>
          <w:lang w:val="en-GB"/>
        </w:rPr>
        <w:tab/>
        <w:t xml:space="preserve">Ionides, E. L., Breto, C. &amp; King, A. A. Inference for nonlinear dynamical systems.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103</w:t>
      </w:r>
      <w:r w:rsidRPr="00013879">
        <w:rPr>
          <w:rFonts w:ascii="Arial" w:hAnsi="Arial" w:cs="Arial"/>
          <w:sz w:val="20"/>
          <w:lang w:val="en-GB"/>
        </w:rPr>
        <w:t>, 18438–18443 (2006).</w:t>
      </w:r>
    </w:p>
    <w:p w14:paraId="04D6255B" w14:textId="77777777" w:rsidR="00013879" w:rsidRPr="00013879" w:rsidRDefault="00013879">
      <w:pPr>
        <w:pStyle w:val="Bibliography"/>
        <w:spacing w:line="360" w:lineRule="auto"/>
        <w:rPr>
          <w:rFonts w:ascii="Arial" w:hAnsi="Arial" w:cs="Arial"/>
          <w:sz w:val="20"/>
          <w:lang w:val="en-GB"/>
        </w:rPr>
        <w:pPrChange w:id="45" w:author="Cascante Vega, Jaime E." w:date="2023-05-11T12:03:00Z">
          <w:pPr>
            <w:pStyle w:val="Bibliography"/>
          </w:pPr>
        </w:pPrChange>
      </w:pPr>
      <w:r w:rsidRPr="00013879">
        <w:rPr>
          <w:rFonts w:ascii="Arial" w:hAnsi="Arial" w:cs="Arial"/>
          <w:sz w:val="20"/>
          <w:lang w:val="en-GB"/>
        </w:rPr>
        <w:t>42.</w:t>
      </w:r>
      <w:r w:rsidRPr="00013879">
        <w:rPr>
          <w:rFonts w:ascii="Arial" w:hAnsi="Arial" w:cs="Arial"/>
          <w:sz w:val="20"/>
          <w:lang w:val="en-GB"/>
        </w:rPr>
        <w:tab/>
        <w:t xml:space="preserve">Ionides, E. L., Nguyen, D., Atchadé, Y., Stoev, S. &amp; King, A. A. Inference for dynamic and latent variable models via iterated, perturbed Bayes maps.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112</w:t>
      </w:r>
      <w:r w:rsidRPr="00013879">
        <w:rPr>
          <w:rFonts w:ascii="Arial" w:hAnsi="Arial" w:cs="Arial"/>
          <w:sz w:val="20"/>
          <w:lang w:val="en-GB"/>
        </w:rPr>
        <w:t>, 719–724 (2015).</w:t>
      </w:r>
    </w:p>
    <w:p w14:paraId="2663D52C" w14:textId="77777777" w:rsidR="00013879" w:rsidRPr="00013879" w:rsidRDefault="00013879">
      <w:pPr>
        <w:pStyle w:val="Bibliography"/>
        <w:spacing w:line="360" w:lineRule="auto"/>
        <w:rPr>
          <w:rFonts w:ascii="Arial" w:hAnsi="Arial" w:cs="Arial"/>
          <w:sz w:val="20"/>
          <w:lang w:val="en-GB"/>
        </w:rPr>
        <w:pPrChange w:id="46" w:author="Cascante Vega, Jaime E." w:date="2023-05-11T12:03:00Z">
          <w:pPr>
            <w:pStyle w:val="Bibliography"/>
          </w:pPr>
        </w:pPrChange>
      </w:pPr>
      <w:r w:rsidRPr="00013879">
        <w:rPr>
          <w:rFonts w:ascii="Arial" w:hAnsi="Arial" w:cs="Arial"/>
          <w:sz w:val="20"/>
          <w:lang w:val="en-GB"/>
        </w:rPr>
        <w:t>43.</w:t>
      </w:r>
      <w:r w:rsidRPr="00013879">
        <w:rPr>
          <w:rFonts w:ascii="Arial" w:hAnsi="Arial" w:cs="Arial"/>
          <w:sz w:val="20"/>
          <w:lang w:val="en-GB"/>
        </w:rPr>
        <w:tab/>
        <w:t xml:space="preserve">Harris, C. R. </w:t>
      </w:r>
      <w:r w:rsidRPr="00013879">
        <w:rPr>
          <w:rFonts w:ascii="Arial" w:hAnsi="Arial" w:cs="Arial"/>
          <w:i/>
          <w:iCs/>
          <w:sz w:val="20"/>
          <w:lang w:val="en-GB"/>
        </w:rPr>
        <w:t>et al.</w:t>
      </w:r>
      <w:r w:rsidRPr="00013879">
        <w:rPr>
          <w:rFonts w:ascii="Arial" w:hAnsi="Arial" w:cs="Arial"/>
          <w:sz w:val="20"/>
          <w:lang w:val="en-GB"/>
        </w:rPr>
        <w:t xml:space="preserve"> Array programming with NumPy. </w:t>
      </w:r>
      <w:r w:rsidRPr="00013879">
        <w:rPr>
          <w:rFonts w:ascii="Arial" w:hAnsi="Arial" w:cs="Arial"/>
          <w:i/>
          <w:iCs/>
          <w:sz w:val="20"/>
          <w:lang w:val="en-GB"/>
        </w:rPr>
        <w:t>Nature</w:t>
      </w:r>
      <w:r w:rsidRPr="00013879">
        <w:rPr>
          <w:rFonts w:ascii="Arial" w:hAnsi="Arial" w:cs="Arial"/>
          <w:sz w:val="20"/>
          <w:lang w:val="en-GB"/>
        </w:rPr>
        <w:t xml:space="preserve"> </w:t>
      </w:r>
      <w:r w:rsidRPr="00013879">
        <w:rPr>
          <w:rFonts w:ascii="Arial" w:hAnsi="Arial" w:cs="Arial"/>
          <w:b/>
          <w:bCs/>
          <w:sz w:val="20"/>
          <w:lang w:val="en-GB"/>
        </w:rPr>
        <w:t>585</w:t>
      </w:r>
      <w:r w:rsidRPr="00013879">
        <w:rPr>
          <w:rFonts w:ascii="Arial" w:hAnsi="Arial" w:cs="Arial"/>
          <w:sz w:val="20"/>
          <w:lang w:val="en-GB"/>
        </w:rPr>
        <w:t>, 357–362 (2020).</w:t>
      </w:r>
    </w:p>
    <w:p w14:paraId="5EF5CCE7" w14:textId="77777777" w:rsidR="00013879" w:rsidRPr="00013879" w:rsidRDefault="00013879">
      <w:pPr>
        <w:pStyle w:val="Bibliography"/>
        <w:spacing w:line="360" w:lineRule="auto"/>
        <w:rPr>
          <w:rFonts w:ascii="Arial" w:hAnsi="Arial" w:cs="Arial"/>
          <w:sz w:val="20"/>
          <w:lang w:val="en-GB"/>
        </w:rPr>
        <w:pPrChange w:id="47" w:author="Cascante Vega, Jaime E." w:date="2023-05-11T12:03:00Z">
          <w:pPr>
            <w:pStyle w:val="Bibliography"/>
          </w:pPr>
        </w:pPrChange>
      </w:pPr>
      <w:r w:rsidRPr="00013879">
        <w:rPr>
          <w:rFonts w:ascii="Arial" w:hAnsi="Arial" w:cs="Arial"/>
          <w:sz w:val="20"/>
          <w:lang w:val="en-GB"/>
        </w:rPr>
        <w:t>44.</w:t>
      </w:r>
      <w:r w:rsidRPr="00013879">
        <w:rPr>
          <w:rFonts w:ascii="Arial" w:hAnsi="Arial" w:cs="Arial"/>
          <w:sz w:val="20"/>
          <w:lang w:val="en-GB"/>
        </w:rPr>
        <w:tab/>
        <w:t xml:space="preserve">Virtanen, P. </w:t>
      </w:r>
      <w:r w:rsidRPr="00013879">
        <w:rPr>
          <w:rFonts w:ascii="Arial" w:hAnsi="Arial" w:cs="Arial"/>
          <w:i/>
          <w:iCs/>
          <w:sz w:val="20"/>
          <w:lang w:val="en-GB"/>
        </w:rPr>
        <w:t>et al.</w:t>
      </w:r>
      <w:r w:rsidRPr="00013879">
        <w:rPr>
          <w:rFonts w:ascii="Arial" w:hAnsi="Arial" w:cs="Arial"/>
          <w:sz w:val="20"/>
          <w:lang w:val="en-GB"/>
        </w:rPr>
        <w:t xml:space="preserve"> SciPy 1.0: fundamental algorithms for scientific computing in Python. </w:t>
      </w:r>
      <w:r w:rsidRPr="00013879">
        <w:rPr>
          <w:rFonts w:ascii="Arial" w:hAnsi="Arial" w:cs="Arial"/>
          <w:i/>
          <w:iCs/>
          <w:sz w:val="20"/>
          <w:lang w:val="en-GB"/>
        </w:rPr>
        <w:t>Nat Methods</w:t>
      </w:r>
      <w:r w:rsidRPr="00013879">
        <w:rPr>
          <w:rFonts w:ascii="Arial" w:hAnsi="Arial" w:cs="Arial"/>
          <w:sz w:val="20"/>
          <w:lang w:val="en-GB"/>
        </w:rPr>
        <w:t xml:space="preserve"> </w:t>
      </w:r>
      <w:r w:rsidRPr="00013879">
        <w:rPr>
          <w:rFonts w:ascii="Arial" w:hAnsi="Arial" w:cs="Arial"/>
          <w:b/>
          <w:bCs/>
          <w:sz w:val="20"/>
          <w:lang w:val="en-GB"/>
        </w:rPr>
        <w:t>17</w:t>
      </w:r>
      <w:r w:rsidRPr="00013879">
        <w:rPr>
          <w:rFonts w:ascii="Arial" w:hAnsi="Arial" w:cs="Arial"/>
          <w:sz w:val="20"/>
          <w:lang w:val="en-GB"/>
        </w:rPr>
        <w:t>, 261–272 (2020).</w:t>
      </w:r>
    </w:p>
    <w:p w14:paraId="0072F1CA" w14:textId="5D57C2A6" w:rsidR="00E6133D" w:rsidRPr="00980C22" w:rsidRDefault="005E4095" w:rsidP="008631B0">
      <w:pPr>
        <w:spacing w:line="360" w:lineRule="auto"/>
        <w:rPr>
          <w:rFonts w:ascii="Arial" w:hAnsi="Arial" w:cs="Arial"/>
          <w:color w:val="000000"/>
          <w:sz w:val="20"/>
          <w:szCs w:val="20"/>
        </w:rPr>
      </w:pPr>
      <w:r w:rsidRPr="00F22241">
        <w:fldChar w:fldCharType="end"/>
      </w:r>
    </w:p>
    <w:p w14:paraId="54B2741A" w14:textId="77777777" w:rsidR="00E6133D" w:rsidRDefault="00E6133D"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81E8C60" w14:textId="26D83E9F" w:rsidR="008D7B47" w:rsidRDefault="00980C2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t>Figures and Tables</w:t>
      </w:r>
      <w:r w:rsidR="008D7B47">
        <w:rPr>
          <w:noProof/>
        </w:rPr>
        <w:drawing>
          <wp:inline distT="0" distB="0" distL="0" distR="0" wp14:anchorId="6CFA1C6E" wp14:editId="16DE37CC">
            <wp:extent cx="5307014" cy="5561720"/>
            <wp:effectExtent l="0" t="0" r="1905" b="1270"/>
            <wp:docPr id="5" name="Picture 5"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t="10163"/>
                    <a:stretch/>
                  </pic:blipFill>
                  <pic:spPr bwMode="auto">
                    <a:xfrm>
                      <a:off x="0" y="0"/>
                      <a:ext cx="5307014" cy="5561720"/>
                    </a:xfrm>
                    <a:prstGeom prst="rect">
                      <a:avLst/>
                    </a:prstGeom>
                    <a:ln>
                      <a:noFill/>
                    </a:ln>
                    <a:extLst>
                      <a:ext uri="{53640926-AAD7-44D8-BBD7-CCE9431645EC}">
                        <a14:shadowObscured xmlns:a14="http://schemas.microsoft.com/office/drawing/2010/main"/>
                      </a:ext>
                    </a:extLst>
                  </pic:spPr>
                </pic:pic>
              </a:graphicData>
            </a:graphic>
          </wp:inline>
        </w:drawing>
      </w:r>
    </w:p>
    <w:p w14:paraId="3E377F10" w14:textId="77777777" w:rsidR="00610610" w:rsidRDefault="00610610" w:rsidP="008631B0">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65316398" w14:textId="6E451D83" w:rsidR="008D7B47" w:rsidRDefault="00E6133D"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1</w:t>
      </w:r>
      <w:r w:rsidRPr="00F649EE">
        <w:rPr>
          <w:rFonts w:ascii="Arial" w:hAnsi="Arial" w:cs="Arial"/>
          <w:b/>
          <w:color w:val="000000"/>
          <w:sz w:val="20"/>
          <w:szCs w:val="20"/>
        </w:rPr>
        <w:t xml:space="preserve">. </w:t>
      </w:r>
      <w:r w:rsidR="008D7B47" w:rsidRPr="008D7B47">
        <w:rPr>
          <w:rFonts w:ascii="Arial" w:hAnsi="Arial" w:cs="Arial"/>
          <w:b/>
          <w:bCs/>
          <w:color w:val="000000"/>
          <w:sz w:val="20"/>
          <w:szCs w:val="20"/>
        </w:rPr>
        <w:t>Empirical colonization of microbial organisms, hospital admissions and testing.</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A)</w:t>
      </w:r>
      <w:r w:rsidR="008D7B47" w:rsidRPr="008D7B47">
        <w:rPr>
          <w:rFonts w:ascii="Arial" w:hAnsi="Arial" w:cs="Arial"/>
          <w:color w:val="000000"/>
          <w:sz w:val="20"/>
          <w:szCs w:val="20"/>
        </w:rPr>
        <w:t xml:space="preserve"> Incident observations for </w:t>
      </w:r>
      <w:r w:rsidR="00690FBA">
        <w:rPr>
          <w:rFonts w:ascii="Arial" w:hAnsi="Arial" w:cs="Arial"/>
          <w:color w:val="000000"/>
          <w:sz w:val="20"/>
          <w:szCs w:val="20"/>
        </w:rPr>
        <w:t>microorganisms</w:t>
      </w:r>
      <w:r w:rsidR="00690FBA" w:rsidRPr="008D7B47">
        <w:rPr>
          <w:rFonts w:ascii="Arial" w:hAnsi="Arial" w:cs="Arial"/>
          <w:color w:val="000000"/>
          <w:sz w:val="20"/>
          <w:szCs w:val="20"/>
        </w:rPr>
        <w:t xml:space="preserve"> </w:t>
      </w:r>
      <w:r w:rsidR="008D7B47" w:rsidRPr="008D7B47">
        <w:rPr>
          <w:rFonts w:ascii="Arial" w:hAnsi="Arial" w:cs="Arial"/>
          <w:color w:val="000000"/>
          <w:sz w:val="20"/>
          <w:szCs w:val="20"/>
        </w:rPr>
        <w:t xml:space="preserve">of interest, from left to right and top to bottom: </w:t>
      </w:r>
      <w:r w:rsidR="008D7B47" w:rsidRPr="008D7B47">
        <w:rPr>
          <w:rFonts w:ascii="Arial" w:hAnsi="Arial" w:cs="Arial"/>
          <w:i/>
          <w:iCs/>
          <w:color w:val="000000"/>
          <w:sz w:val="20"/>
          <w:szCs w:val="20"/>
        </w:rPr>
        <w:t>E. coli</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K. pneumoniae</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P. aeruginosa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MSSA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S. epidermis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Candida albicans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MRSA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E. faecalis</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B)</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(red) and admitted patients (blue) during the study period at daily resolution (weekly variability is evident). </w:t>
      </w:r>
      <w:r w:rsidR="008D7B47" w:rsidRPr="00E16882">
        <w:rPr>
          <w:rFonts w:ascii="Arial" w:hAnsi="Arial" w:cs="Arial"/>
          <w:b/>
          <w:bCs/>
          <w:color w:val="000000"/>
          <w:sz w:val="20"/>
          <w:szCs w:val="20"/>
        </w:rPr>
        <w:t>C)</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normalized by ward size (average occupancy per day during the study period); blue lines show the 10 most populated wards, green lines the 10 least populated, and the remaining wards are shown in gray in the </w:t>
      </w:r>
      <w:r w:rsidR="008D7B47" w:rsidRPr="008D7B47">
        <w:rPr>
          <w:rFonts w:ascii="Arial" w:hAnsi="Arial" w:cs="Arial"/>
          <w:color w:val="000000"/>
          <w:sz w:val="20"/>
          <w:szCs w:val="20"/>
        </w:rPr>
        <w:lastRenderedPageBreak/>
        <w:t xml:space="preserve">background </w:t>
      </w:r>
      <w:r w:rsidR="008D7B47" w:rsidRPr="00E16882">
        <w:rPr>
          <w:rFonts w:ascii="Arial" w:hAnsi="Arial" w:cs="Arial"/>
          <w:b/>
          <w:bCs/>
          <w:color w:val="000000"/>
          <w:sz w:val="20"/>
          <w:szCs w:val="20"/>
        </w:rPr>
        <w:t>D)</w:t>
      </w:r>
      <w:r w:rsidR="008D7B47" w:rsidRPr="008D7B47">
        <w:rPr>
          <w:rFonts w:ascii="Arial" w:hAnsi="Arial" w:cs="Arial"/>
          <w:color w:val="000000"/>
          <w:sz w:val="20"/>
          <w:szCs w:val="20"/>
        </w:rPr>
        <w:t xml:space="preserve"> Heatmap showing the number of weekly cultures in each ward during the study</w:t>
      </w:r>
      <w:r w:rsidR="00610610">
        <w:rPr>
          <w:rFonts w:ascii="Arial" w:hAnsi="Arial" w:cs="Arial"/>
          <w:color w:val="000000"/>
          <w:sz w:val="20"/>
          <w:szCs w:val="20"/>
        </w:rPr>
        <w:t xml:space="preserve"> </w:t>
      </w:r>
      <w:r w:rsidR="008D7B47" w:rsidRPr="008D7B47">
        <w:rPr>
          <w:rFonts w:ascii="Arial" w:hAnsi="Arial" w:cs="Arial"/>
          <w:color w:val="000000"/>
          <w:sz w:val="20"/>
          <w:szCs w:val="20"/>
        </w:rPr>
        <w:t xml:space="preserve">period. </w:t>
      </w:r>
      <w:r w:rsidR="008D7B47" w:rsidRPr="00E16882">
        <w:rPr>
          <w:rFonts w:ascii="Arial" w:hAnsi="Arial" w:cs="Arial"/>
          <w:b/>
          <w:bCs/>
          <w:color w:val="000000"/>
          <w:sz w:val="20"/>
          <w:szCs w:val="20"/>
        </w:rPr>
        <w:t>E)</w:t>
      </w:r>
      <w:r w:rsidR="008D7B47" w:rsidRPr="008D7B47">
        <w:rPr>
          <w:rFonts w:ascii="Arial" w:hAnsi="Arial" w:cs="Arial"/>
          <w:color w:val="000000"/>
          <w:sz w:val="20"/>
          <w:szCs w:val="20"/>
        </w:rPr>
        <w:t xml:space="preserve"> Heatmap plot showing the number of patients </w:t>
      </w:r>
      <w:r w:rsidR="003F1390">
        <w:rPr>
          <w:rFonts w:ascii="Arial" w:hAnsi="Arial" w:cs="Arial"/>
          <w:color w:val="000000"/>
          <w:sz w:val="20"/>
          <w:szCs w:val="20"/>
        </w:rPr>
        <w:t xml:space="preserve">admitted weekly </w:t>
      </w:r>
      <w:r w:rsidR="008D7B47" w:rsidRPr="008D7B47">
        <w:rPr>
          <w:rFonts w:ascii="Arial" w:hAnsi="Arial" w:cs="Arial"/>
          <w:color w:val="000000"/>
          <w:sz w:val="20"/>
          <w:szCs w:val="20"/>
        </w:rPr>
        <w:t>to each ward during the study period.</w:t>
      </w:r>
    </w:p>
    <w:p w14:paraId="59C63544" w14:textId="48009AFB"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A467CA7" w14:textId="7777777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ADA6C6C" w14:textId="230326EF" w:rsidR="00374A77" w:rsidRDefault="00374A77"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AF955D2" w14:textId="5A5E3F91"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CB97531" w14:textId="21D1B8A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5A504FC" w14:textId="26BCDAC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62152EB" w14:textId="3776C05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1BC86B7" w14:textId="5B72F6B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46F1C66" w14:textId="7777777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19C4EB5" w14:textId="77777777"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02BFED0C" w14:textId="17F59B3C"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44511747" w14:textId="75F6DE66"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1ABEE691" w14:textId="28A017BA"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20BB0640" w14:textId="41EB8A42"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0423EAFC" w14:textId="70FA7353"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532736AE" w14:textId="2269910C"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46EE390C" w14:textId="3C0F6A56"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366F2B14" w14:textId="61D45CD4"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2AFA248F" w14:textId="77777777"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6389CA68" w14:textId="3826F450" w:rsidR="008D7B47" w:rsidRDefault="008D7B47"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lastRenderedPageBreak/>
        <w:drawing>
          <wp:inline distT="0" distB="0" distL="0" distR="0" wp14:anchorId="4977768E" wp14:editId="06C9B17C">
            <wp:extent cx="5486400" cy="528338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283380"/>
                    </a:xfrm>
                    <a:prstGeom prst="rect">
                      <a:avLst/>
                    </a:prstGeom>
                  </pic:spPr>
                </pic:pic>
              </a:graphicData>
            </a:graphic>
          </wp:inline>
        </w:drawing>
      </w:r>
    </w:p>
    <w:p w14:paraId="1D11AA4B" w14:textId="77777777" w:rsidR="00610610" w:rsidRDefault="00610610" w:rsidP="008631B0">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146BB5DC" w14:textId="5954962A" w:rsidR="008D7B47" w:rsidRDefault="008D7B47"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2</w:t>
      </w:r>
      <w:r w:rsidRPr="00F649EE">
        <w:rPr>
          <w:rFonts w:ascii="Arial" w:hAnsi="Arial" w:cs="Arial"/>
          <w:b/>
          <w:color w:val="000000"/>
          <w:sz w:val="20"/>
          <w:szCs w:val="20"/>
        </w:rPr>
        <w:t xml:space="preserve">. </w:t>
      </w:r>
      <w:r w:rsidRPr="008D7B47">
        <w:rPr>
          <w:rFonts w:ascii="Arial" w:hAnsi="Arial" w:cs="Arial"/>
          <w:b/>
          <w:bCs/>
          <w:color w:val="000000"/>
          <w:sz w:val="20"/>
          <w:szCs w:val="20"/>
        </w:rPr>
        <w:t>A)</w:t>
      </w:r>
      <w:r w:rsidRPr="008D7B47">
        <w:rPr>
          <w:rFonts w:ascii="Arial" w:hAnsi="Arial" w:cs="Arial"/>
          <w:color w:val="000000"/>
          <w:sz w:val="20"/>
          <w:szCs w:val="20"/>
        </w:rPr>
        <w:t xml:space="preserve"> Adjacency</w:t>
      </w:r>
      <w:r>
        <w:rPr>
          <w:rFonts w:ascii="Arial" w:hAnsi="Arial" w:cs="Arial"/>
          <w:color w:val="000000"/>
          <w:sz w:val="20"/>
          <w:szCs w:val="20"/>
        </w:rPr>
        <w:t xml:space="preserve"> </w:t>
      </w:r>
      <w:r w:rsidRPr="008D7B47">
        <w:rPr>
          <w:rFonts w:ascii="Arial" w:hAnsi="Arial" w:cs="Arial"/>
          <w:color w:val="000000"/>
          <w:sz w:val="20"/>
          <w:szCs w:val="20"/>
        </w:rPr>
        <w:t xml:space="preserve">matrix of transfers between wards during the study period. </w:t>
      </w:r>
      <w:r w:rsidRPr="008D7B47">
        <w:rPr>
          <w:rFonts w:ascii="Arial" w:hAnsi="Arial" w:cs="Arial"/>
          <w:b/>
          <w:bCs/>
          <w:color w:val="000000"/>
          <w:sz w:val="20"/>
          <w:szCs w:val="20"/>
        </w:rPr>
        <w:t>B)</w:t>
      </w:r>
      <w:r w:rsidRPr="008D7B47">
        <w:rPr>
          <w:rFonts w:ascii="Arial" w:hAnsi="Arial" w:cs="Arial"/>
          <w:color w:val="000000"/>
          <w:sz w:val="20"/>
          <w:szCs w:val="20"/>
        </w:rPr>
        <w:t xml:space="preserve"> Adjacency matrix of transfers between clusters (aggregation of wards) during the study period. Color bar is in Log10 scale; darker colors indicate greater movement of individuals between each pair of wards or ward clusters. </w:t>
      </w:r>
      <w:r w:rsidRPr="008D7B47">
        <w:rPr>
          <w:rFonts w:ascii="Arial" w:hAnsi="Arial" w:cs="Arial"/>
          <w:b/>
          <w:bCs/>
          <w:color w:val="000000"/>
          <w:sz w:val="20"/>
          <w:szCs w:val="20"/>
        </w:rPr>
        <w:t>C)</w:t>
      </w:r>
      <w:r w:rsidRPr="008D7B47">
        <w:rPr>
          <w:rFonts w:ascii="Arial" w:hAnsi="Arial" w:cs="Arial"/>
          <w:color w:val="000000"/>
          <w:sz w:val="20"/>
          <w:szCs w:val="20"/>
        </w:rPr>
        <w:t xml:space="preserve"> Incident colonization for the 8 study </w:t>
      </w:r>
      <w:r w:rsidR="006C2CF8">
        <w:rPr>
          <w:rFonts w:ascii="Arial" w:hAnsi="Arial" w:cs="Arial"/>
          <w:color w:val="000000"/>
          <w:sz w:val="20"/>
          <w:szCs w:val="20"/>
        </w:rPr>
        <w:t>species</w:t>
      </w:r>
      <w:r w:rsidRPr="008D7B47">
        <w:rPr>
          <w:rFonts w:ascii="Arial" w:hAnsi="Arial" w:cs="Arial"/>
          <w:color w:val="000000"/>
          <w:sz w:val="20"/>
          <w:szCs w:val="20"/>
        </w:rPr>
        <w:t xml:space="preserve">; line color designates the cluster. </w:t>
      </w:r>
      <w:r w:rsidRPr="008D7B47">
        <w:rPr>
          <w:rFonts w:ascii="Arial" w:hAnsi="Arial" w:cs="Arial"/>
          <w:b/>
          <w:bCs/>
          <w:color w:val="000000"/>
          <w:sz w:val="20"/>
          <w:szCs w:val="20"/>
        </w:rPr>
        <w:t xml:space="preserve">D) </w:t>
      </w:r>
      <w:r w:rsidRPr="008D7B47">
        <w:rPr>
          <w:rFonts w:ascii="Arial" w:hAnsi="Arial" w:cs="Arial"/>
          <w:color w:val="000000"/>
          <w:sz w:val="20"/>
          <w:szCs w:val="20"/>
        </w:rPr>
        <w:t xml:space="preserve">Heatmap plot showing the number of weekly cultures identified in each ward cluster during the </w:t>
      </w:r>
      <w:r w:rsidRPr="008D7B47">
        <w:rPr>
          <w:rFonts w:ascii="Arial" w:hAnsi="Arial" w:cs="Arial"/>
          <w:color w:val="000000"/>
          <w:sz w:val="20"/>
          <w:szCs w:val="20"/>
        </w:rPr>
        <w:lastRenderedPageBreak/>
        <w:t xml:space="preserve">study period. </w:t>
      </w:r>
      <w:r w:rsidRPr="008D7B47">
        <w:rPr>
          <w:rFonts w:ascii="Arial" w:hAnsi="Arial" w:cs="Arial"/>
          <w:b/>
          <w:bCs/>
          <w:color w:val="000000"/>
          <w:sz w:val="20"/>
          <w:szCs w:val="20"/>
        </w:rPr>
        <w:t>E)</w:t>
      </w:r>
      <w:r w:rsidRPr="008D7B47">
        <w:rPr>
          <w:rFonts w:ascii="Arial" w:hAnsi="Arial" w:cs="Arial"/>
          <w:color w:val="000000"/>
          <w:sz w:val="20"/>
          <w:szCs w:val="20"/>
        </w:rPr>
        <w:t xml:space="preserve"> Heatmap showing the number of patients admitted </w:t>
      </w:r>
      <w:r w:rsidR="00777469">
        <w:rPr>
          <w:rFonts w:ascii="Arial" w:hAnsi="Arial" w:cs="Arial"/>
          <w:color w:val="000000"/>
          <w:sz w:val="20"/>
          <w:szCs w:val="20"/>
        </w:rPr>
        <w:t xml:space="preserve">weekly </w:t>
      </w:r>
      <w:r w:rsidRPr="008D7B47">
        <w:rPr>
          <w:rFonts w:ascii="Arial" w:hAnsi="Arial" w:cs="Arial"/>
          <w:color w:val="000000"/>
          <w:sz w:val="20"/>
          <w:szCs w:val="20"/>
        </w:rPr>
        <w:t>to each ward cluster during the study period.</w:t>
      </w:r>
    </w:p>
    <w:p w14:paraId="700BEACC" w14:textId="143B81B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9ECB2E2" w14:textId="18975AAD"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17E58C5" w14:textId="672040B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B5F09A3" w14:textId="6801AC1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3350F69" w14:textId="459CE31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EBFFEA9" w14:textId="16995A0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420C1ED" w14:textId="47BC57B8"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F7E17A5" w14:textId="435DDAB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29BE2FE" w14:textId="315FD535"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4832F2B" w14:textId="77B5581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3015189" w14:textId="64A1ACE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972828B" w14:textId="2906E591"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8A1A1B4" w14:textId="3BC52871"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5AD5DC8" w14:textId="36F3764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50C8916" w14:textId="3CF3D2EE"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0EFC84E" w14:textId="39E43BFE"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3DE493B" w14:textId="1180259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C300CFD" w14:textId="5A6F4A0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A77118E" w14:textId="44E964D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8CDF6C0" w14:textId="2080068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A866C23" w14:textId="41EF5C6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6B96FAE" w14:textId="62FE34E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D3FB7AA" w14:textId="7777777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9A8E44F" w14:textId="7439EAC4" w:rsidR="00962E89" w:rsidRDefault="00962E89"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4DDD8113" w14:textId="402C26A2"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62E89">
        <w:rPr>
          <w:rFonts w:ascii="Times New Roman" w:eastAsia="Times New Roman" w:hAnsi="Times New Roman" w:cs="Times New Roman"/>
          <w:noProof/>
          <w:sz w:val="24"/>
          <w:szCs w:val="24"/>
          <w:lang w:val="es" w:eastAsia="en-GB"/>
        </w:rPr>
        <w:lastRenderedPageBreak/>
        <w:drawing>
          <wp:inline distT="0" distB="0" distL="0" distR="0" wp14:anchorId="78D2F282" wp14:editId="6A2E218B">
            <wp:extent cx="5486400" cy="4316908"/>
            <wp:effectExtent l="0" t="0" r="0" b="127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b="18291"/>
                    <a:stretch/>
                  </pic:blipFill>
                  <pic:spPr bwMode="auto">
                    <a:xfrm>
                      <a:off x="0" y="0"/>
                      <a:ext cx="5486400" cy="4316908"/>
                    </a:xfrm>
                    <a:prstGeom prst="rect">
                      <a:avLst/>
                    </a:prstGeom>
                    <a:ln>
                      <a:noFill/>
                    </a:ln>
                    <a:extLst>
                      <a:ext uri="{53640926-AAD7-44D8-BBD7-CCE9431645EC}">
                        <a14:shadowObscured xmlns:a14="http://schemas.microsoft.com/office/drawing/2010/main"/>
                      </a:ext>
                    </a:extLst>
                  </pic:spPr>
                </pic:pic>
              </a:graphicData>
            </a:graphic>
          </wp:inline>
        </w:drawing>
      </w:r>
    </w:p>
    <w:p w14:paraId="23BACAEC" w14:textId="77777777" w:rsidR="00610610" w:rsidRDefault="00610610" w:rsidP="008631B0">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68669B2F" w14:textId="208EDCD6" w:rsidR="00962E89" w:rsidRDefault="00962E89"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3</w:t>
      </w:r>
      <w:r>
        <w:rPr>
          <w:rFonts w:ascii="Arial" w:hAnsi="Arial" w:cs="Arial"/>
          <w:b/>
          <w:color w:val="000000"/>
          <w:sz w:val="20"/>
          <w:szCs w:val="20"/>
        </w:rPr>
        <w:t>.</w:t>
      </w:r>
      <w:r w:rsidR="00E6133D" w:rsidRPr="00F649EE">
        <w:rPr>
          <w:rFonts w:ascii="Arial" w:hAnsi="Arial" w:cs="Arial"/>
          <w:b/>
          <w:color w:val="000000"/>
          <w:sz w:val="20"/>
          <w:szCs w:val="20"/>
        </w:rPr>
        <w:t xml:space="preserve"> </w:t>
      </w:r>
      <w:r w:rsidRPr="003234E4">
        <w:rPr>
          <w:rFonts w:ascii="Arial" w:hAnsi="Arial" w:cs="Arial"/>
          <w:b/>
          <w:bCs/>
          <w:color w:val="000000"/>
          <w:sz w:val="20"/>
          <w:szCs w:val="20"/>
        </w:rPr>
        <w:t>Posterior parameter estimates.</w:t>
      </w:r>
      <w:r w:rsidRPr="003234E4">
        <w:rPr>
          <w:rFonts w:ascii="Arial" w:hAnsi="Arial" w:cs="Arial"/>
          <w:color w:val="000000"/>
          <w:sz w:val="20"/>
          <w:szCs w:val="20"/>
        </w:rPr>
        <w:t xml:space="preserve"> Estimates for the </w:t>
      </w:r>
      <w:r w:rsidRPr="00E16882">
        <w:rPr>
          <w:rFonts w:ascii="Arial" w:hAnsi="Arial" w:cs="Arial"/>
          <w:b/>
          <w:bCs/>
          <w:color w:val="000000"/>
          <w:sz w:val="20"/>
          <w:szCs w:val="20"/>
        </w:rPr>
        <w:t>A)</w:t>
      </w:r>
      <w:r w:rsidRPr="003234E4">
        <w:rPr>
          <w:rFonts w:ascii="Arial" w:hAnsi="Arial" w:cs="Arial"/>
          <w:color w:val="000000"/>
          <w:sz w:val="20"/>
          <w:szCs w:val="20"/>
        </w:rPr>
        <w:t xml:space="preserve"> importation rate and </w:t>
      </w:r>
      <w:r w:rsidRPr="00E16882">
        <w:rPr>
          <w:rFonts w:ascii="Arial" w:hAnsi="Arial" w:cs="Arial"/>
          <w:b/>
          <w:bCs/>
          <w:color w:val="000000"/>
          <w:sz w:val="20"/>
          <w:szCs w:val="20"/>
        </w:rPr>
        <w:t>B)</w:t>
      </w:r>
      <w:r w:rsidRPr="003234E4">
        <w:rPr>
          <w:rFonts w:ascii="Arial" w:hAnsi="Arial" w:cs="Arial"/>
          <w:color w:val="000000"/>
          <w:sz w:val="20"/>
          <w:szCs w:val="20"/>
        </w:rPr>
        <w:t xml:space="preserve"> nosocomial transmission rate.  Violin plots show the posterior distribution an estimates </w:t>
      </w:r>
      <w:r w:rsidR="00673330">
        <w:rPr>
          <w:rFonts w:ascii="Arial" w:hAnsi="Arial" w:cs="Arial"/>
          <w:color w:val="000000"/>
          <w:sz w:val="20"/>
          <w:szCs w:val="20"/>
        </w:rPr>
        <w:t>for</w:t>
      </w:r>
      <w:r w:rsidR="00673330" w:rsidRPr="003234E4">
        <w:rPr>
          <w:rFonts w:ascii="Arial" w:hAnsi="Arial" w:cs="Arial"/>
          <w:color w:val="000000"/>
          <w:sz w:val="20"/>
          <w:szCs w:val="20"/>
        </w:rPr>
        <w:t xml:space="preserve"> </w:t>
      </w:r>
      <w:r w:rsidRPr="003234E4">
        <w:rPr>
          <w:rFonts w:ascii="Arial" w:hAnsi="Arial" w:cs="Arial"/>
          <w:color w:val="000000"/>
          <w:sz w:val="20"/>
          <w:szCs w:val="20"/>
        </w:rPr>
        <w:t>the last iteration of the IF-EAKF (see Methods section) for 3 different runs of the model-inference system. Red dots show the value used in the synthetic simulation (i.e. the truth).</w:t>
      </w:r>
      <w:r w:rsidRPr="003234E4">
        <w:rPr>
          <w:rFonts w:ascii="Arial" w:hAnsi="Arial" w:cs="Arial"/>
          <w:b/>
          <w:bCs/>
          <w:color w:val="000000"/>
          <w:sz w:val="20"/>
          <w:szCs w:val="20"/>
        </w:rPr>
        <w:t xml:space="preserve"> </w:t>
      </w:r>
      <w:r w:rsidRPr="003234E4">
        <w:rPr>
          <w:rFonts w:ascii="Arial" w:hAnsi="Arial" w:cs="Arial"/>
          <w:color w:val="000000"/>
          <w:sz w:val="20"/>
          <w:szCs w:val="20"/>
        </w:rPr>
        <w:t>Hospital</w:t>
      </w:r>
      <w:r w:rsidR="00673330">
        <w:rPr>
          <w:rFonts w:ascii="Arial" w:hAnsi="Arial" w:cs="Arial"/>
          <w:color w:val="000000"/>
          <w:sz w:val="20"/>
          <w:szCs w:val="20"/>
        </w:rPr>
        <w:t>-</w:t>
      </w:r>
      <w:r w:rsidRPr="003234E4">
        <w:rPr>
          <w:rFonts w:ascii="Arial" w:hAnsi="Arial" w:cs="Arial"/>
          <w:color w:val="000000"/>
          <w:sz w:val="20"/>
          <w:szCs w:val="20"/>
        </w:rPr>
        <w:t>level simulations of</w:t>
      </w:r>
      <w:r w:rsidRPr="003234E4">
        <w:rPr>
          <w:rFonts w:ascii="Arial" w:hAnsi="Arial" w:cs="Arial"/>
          <w:b/>
          <w:bCs/>
          <w:color w:val="000000"/>
          <w:sz w:val="20"/>
          <w:szCs w:val="20"/>
        </w:rPr>
        <w:t xml:space="preserve"> </w:t>
      </w:r>
      <w:r w:rsidRPr="003234E4">
        <w:rPr>
          <w:rFonts w:ascii="Arial" w:hAnsi="Arial" w:cs="Arial"/>
          <w:color w:val="000000"/>
          <w:sz w:val="20"/>
          <w:szCs w:val="20"/>
        </w:rPr>
        <w:t xml:space="preserve">the number of </w:t>
      </w:r>
      <w:r w:rsidRPr="00E16882">
        <w:rPr>
          <w:rFonts w:ascii="Arial" w:hAnsi="Arial" w:cs="Arial"/>
          <w:b/>
          <w:bCs/>
          <w:color w:val="000000"/>
          <w:sz w:val="20"/>
          <w:szCs w:val="20"/>
        </w:rPr>
        <w:t>C)</w:t>
      </w:r>
      <w:r w:rsidRPr="003234E4">
        <w:rPr>
          <w:rFonts w:ascii="Arial" w:hAnsi="Arial" w:cs="Arial"/>
          <w:color w:val="000000"/>
          <w:sz w:val="20"/>
          <w:szCs w:val="20"/>
        </w:rPr>
        <w:t xml:space="preserve"> imported, </w:t>
      </w:r>
      <w:r w:rsidRPr="00E16882">
        <w:rPr>
          <w:rFonts w:ascii="Arial" w:hAnsi="Arial" w:cs="Arial"/>
          <w:b/>
          <w:bCs/>
          <w:color w:val="000000"/>
          <w:sz w:val="20"/>
          <w:szCs w:val="20"/>
        </w:rPr>
        <w:t>D)</w:t>
      </w:r>
      <w:r w:rsidRPr="003234E4">
        <w:rPr>
          <w:rFonts w:ascii="Arial" w:hAnsi="Arial" w:cs="Arial"/>
          <w:color w:val="000000"/>
          <w:sz w:val="20"/>
          <w:szCs w:val="20"/>
        </w:rPr>
        <w:t xml:space="preserve"> nosocomial, and </w:t>
      </w:r>
      <w:r w:rsidRPr="00E16882">
        <w:rPr>
          <w:rFonts w:ascii="Arial" w:hAnsi="Arial" w:cs="Arial"/>
          <w:b/>
          <w:bCs/>
          <w:color w:val="000000"/>
          <w:sz w:val="20"/>
          <w:szCs w:val="20"/>
        </w:rPr>
        <w:t>E)</w:t>
      </w:r>
      <w:r w:rsidRPr="003234E4">
        <w:rPr>
          <w:rFonts w:ascii="Arial" w:hAnsi="Arial" w:cs="Arial"/>
          <w:color w:val="000000"/>
          <w:sz w:val="20"/>
          <w:szCs w:val="20"/>
        </w:rPr>
        <w:t xml:space="preserve"> detected colonizations. Each column represents one scenario used for studying the identifiability of the system. Light and dark ribbons show the 95% and 50% uncertainty, respectively, constructed from 300 simulations of the posterior, and dots </w:t>
      </w:r>
      <w:r w:rsidRPr="003234E4">
        <w:rPr>
          <w:rFonts w:ascii="Arial" w:hAnsi="Arial" w:cs="Arial"/>
          <w:color w:val="000000"/>
          <w:sz w:val="20"/>
          <w:szCs w:val="20"/>
        </w:rPr>
        <w:lastRenderedPageBreak/>
        <w:t>show the hospital-level observation of the synthetic simulation. Note</w:t>
      </w:r>
      <w:r w:rsidR="00673330">
        <w:rPr>
          <w:rFonts w:ascii="Arial" w:hAnsi="Arial" w:cs="Arial"/>
          <w:color w:val="000000"/>
          <w:sz w:val="20"/>
          <w:szCs w:val="20"/>
        </w:rPr>
        <w:t>,</w:t>
      </w:r>
      <w:r w:rsidRPr="003234E4">
        <w:rPr>
          <w:rFonts w:ascii="Arial" w:hAnsi="Arial" w:cs="Arial"/>
          <w:color w:val="000000"/>
          <w:sz w:val="20"/>
          <w:szCs w:val="20"/>
        </w:rPr>
        <w:t xml:space="preserve"> hospital level data were not used to optimize the model. </w:t>
      </w:r>
    </w:p>
    <w:p w14:paraId="6B4D0C88" w14:textId="0A2F4256"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21097E9" w14:textId="61A0A819"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B5DBAD8" w14:textId="05D5E2AA"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9654056" w14:textId="3C62265E"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C66B932" w14:textId="2BDB6CD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BEC0885" w14:textId="490F8C9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4905DA1" w14:textId="6164EA3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77A1C37" w14:textId="22995AD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03E1968" w14:textId="196192E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F4EA0E2" w14:textId="167ED19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A3AB538" w14:textId="5946DD6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EA81A13" w14:textId="61FD0F16"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438A412" w14:textId="4BFB21A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C46D8B5" w14:textId="44F49E2D"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764F917" w14:textId="77B4D1E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EE57025" w14:textId="730C249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3E3A286" w14:textId="3EDEAC0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F7B1921" w14:textId="307FFFD9"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9870139" w14:textId="0B46B5F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2BE5D94" w14:textId="77777777" w:rsidR="00E16882" w:rsidRPr="003234E4"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6F3EA61" w14:textId="36738718" w:rsidR="00374A77" w:rsidRDefault="00374A77"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66180023" w14:textId="5D129D0B"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lastRenderedPageBreak/>
        <w:drawing>
          <wp:inline distT="0" distB="0" distL="0" distR="0" wp14:anchorId="2E1FA0BD" wp14:editId="7014D4A1">
            <wp:extent cx="5486400" cy="528338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283380"/>
                    </a:xfrm>
                    <a:prstGeom prst="rect">
                      <a:avLst/>
                    </a:prstGeom>
                  </pic:spPr>
                </pic:pic>
              </a:graphicData>
            </a:graphic>
          </wp:inline>
        </w:drawing>
      </w:r>
    </w:p>
    <w:p w14:paraId="164ECC1B" w14:textId="722C4D4F" w:rsidR="00962E89" w:rsidRDefault="00962E89"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4</w:t>
      </w:r>
      <w:r>
        <w:rPr>
          <w:rFonts w:ascii="Arial" w:hAnsi="Arial" w:cs="Arial"/>
          <w:b/>
          <w:color w:val="000000"/>
          <w:sz w:val="20"/>
          <w:szCs w:val="20"/>
        </w:rPr>
        <w:t xml:space="preserve">. </w:t>
      </w:r>
      <w:r w:rsidRPr="003234E4">
        <w:rPr>
          <w:rFonts w:ascii="Arial" w:hAnsi="Arial" w:cs="Arial"/>
          <w:b/>
          <w:bCs/>
          <w:color w:val="000000"/>
          <w:sz w:val="20"/>
          <w:szCs w:val="20"/>
        </w:rPr>
        <w:t>Posterior parameter estimates (A-B):</w:t>
      </w:r>
      <w:r w:rsidRPr="003234E4">
        <w:rPr>
          <w:rFonts w:ascii="Arial" w:hAnsi="Arial" w:cs="Arial"/>
          <w:color w:val="000000"/>
          <w:sz w:val="20"/>
          <w:szCs w:val="20"/>
        </w:rPr>
        <w:t xml:space="preserve"> Violin plots show the posterior distribution and point estimates </w:t>
      </w:r>
      <w:r w:rsidR="00673330">
        <w:rPr>
          <w:rFonts w:ascii="Arial" w:hAnsi="Arial" w:cs="Arial"/>
          <w:color w:val="000000"/>
          <w:sz w:val="20"/>
          <w:szCs w:val="20"/>
        </w:rPr>
        <w:t>from</w:t>
      </w:r>
      <w:r w:rsidR="00673330" w:rsidRPr="003234E4">
        <w:rPr>
          <w:rFonts w:ascii="Arial" w:hAnsi="Arial" w:cs="Arial"/>
          <w:color w:val="000000"/>
          <w:sz w:val="20"/>
          <w:szCs w:val="20"/>
        </w:rPr>
        <w:t xml:space="preserve"> </w:t>
      </w:r>
      <w:r w:rsidRPr="003234E4">
        <w:rPr>
          <w:rFonts w:ascii="Arial" w:hAnsi="Arial" w:cs="Arial"/>
          <w:color w:val="000000"/>
          <w:sz w:val="20"/>
          <w:szCs w:val="20"/>
        </w:rPr>
        <w:t xml:space="preserve">the last iteration of the IF-EAKF (Methods section) for each of the microbial species (Data section). </w:t>
      </w:r>
      <w:r w:rsidRPr="003234E4">
        <w:rPr>
          <w:rFonts w:ascii="Arial" w:hAnsi="Arial" w:cs="Arial"/>
          <w:b/>
          <w:bCs/>
          <w:color w:val="000000"/>
          <w:sz w:val="20"/>
          <w:szCs w:val="20"/>
        </w:rPr>
        <w:t>C)</w:t>
      </w:r>
      <w:r w:rsidRPr="003234E4">
        <w:rPr>
          <w:rFonts w:ascii="Arial" w:hAnsi="Arial" w:cs="Arial"/>
          <w:color w:val="000000"/>
          <w:sz w:val="20"/>
          <w:szCs w:val="20"/>
        </w:rPr>
        <w:t xml:space="preserve"> Hospital level fit: Light and dark ribbons show the 95% and 50% quantiles, respectively, constructed from 300 simulations with the posterior estimates of parameters. Observed carriage is plotted with dots at weekly time scale. D) Calibration plot. Hospital</w:t>
      </w:r>
      <w:r w:rsidR="00673330">
        <w:rPr>
          <w:rFonts w:ascii="Arial" w:hAnsi="Arial" w:cs="Arial"/>
          <w:color w:val="000000"/>
          <w:sz w:val="20"/>
          <w:szCs w:val="20"/>
        </w:rPr>
        <w:t>-</w:t>
      </w:r>
      <w:r w:rsidRPr="003234E4">
        <w:rPr>
          <w:rFonts w:ascii="Arial" w:hAnsi="Arial" w:cs="Arial"/>
          <w:color w:val="000000"/>
          <w:sz w:val="20"/>
          <w:szCs w:val="20"/>
        </w:rPr>
        <w:t>level fit with 4 different confidence intervals (25%, 50, 75%, 95%). The black dotted line is the reference perfect calibration.</w:t>
      </w:r>
    </w:p>
    <w:p w14:paraId="4E99BE5E" w14:textId="77777777" w:rsidR="00374A77" w:rsidRDefault="00374A77"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315DE00C" w14:textId="77777777" w:rsidR="00374A77" w:rsidRPr="00962E89" w:rsidRDefault="00374A77"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018CEC38" w14:textId="77777777" w:rsidR="00962E89" w:rsidRPr="00F649EE"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5759CCF" w14:textId="466BB13A" w:rsidR="00E6133D"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p>
    <w:p w14:paraId="2C7ADBE2" w14:textId="00523077"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6C1A0405" w14:textId="3D1915E6"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0669F7F1" w14:textId="2A5994CB"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49AE0B15" w14:textId="34EC0E94"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5EF81775" w14:textId="6EA8DF95"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264A4DEA" w14:textId="0B9BC8CD"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drawing>
          <wp:inline distT="0" distB="0" distL="0" distR="0" wp14:anchorId="72731C30" wp14:editId="358951D3">
            <wp:extent cx="5486400" cy="2438670"/>
            <wp:effectExtent l="0" t="0" r="0" b="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438670"/>
                    </a:xfrm>
                    <a:prstGeom prst="rect">
                      <a:avLst/>
                    </a:prstGeom>
                  </pic:spPr>
                </pic:pic>
              </a:graphicData>
            </a:graphic>
          </wp:inline>
        </w:drawing>
      </w:r>
    </w:p>
    <w:p w14:paraId="5F3AE8CB" w14:textId="70B1760B"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5</w:t>
      </w:r>
      <w:r>
        <w:rPr>
          <w:rFonts w:ascii="Arial" w:hAnsi="Arial" w:cs="Arial"/>
          <w:b/>
          <w:color w:val="000000"/>
          <w:sz w:val="20"/>
          <w:szCs w:val="20"/>
        </w:rPr>
        <w:t xml:space="preserve">. </w:t>
      </w:r>
      <w:r w:rsidRPr="003234E4">
        <w:rPr>
          <w:rFonts w:ascii="Arial" w:hAnsi="Arial" w:cs="Arial"/>
          <w:b/>
          <w:bCs/>
          <w:color w:val="000000"/>
          <w:sz w:val="20"/>
          <w:szCs w:val="20"/>
        </w:rPr>
        <w:t xml:space="preserve">Importation and nosocomial contribution. </w:t>
      </w:r>
      <w:r w:rsidRPr="003234E4">
        <w:rPr>
          <w:rFonts w:ascii="Arial" w:hAnsi="Arial" w:cs="Arial"/>
          <w:color w:val="000000"/>
          <w:sz w:val="20"/>
          <w:szCs w:val="20"/>
        </w:rPr>
        <w:t>Weekly incident colonization of microbial species. Light and dark ribbons show the 95% and 50% quantiles, respectively, constructed from 300 simulations with the posterior estimates of parameters. Salmon/red color shows importation; light blue shows nosocomial transmission (left and right axis, respectively).</w:t>
      </w:r>
    </w:p>
    <w:p w14:paraId="7DC35BB6" w14:textId="7B28EF04"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C839860" w14:textId="630A73A3"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6BDA1642" w14:textId="77777777" w:rsidR="00E16882" w:rsidRPr="00F649EE"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noProof/>
          <w:sz w:val="20"/>
          <w:szCs w:val="20"/>
        </w:rPr>
        <w:lastRenderedPageBreak/>
        <w:drawing>
          <wp:inline distT="0" distB="0" distL="0" distR="0" wp14:anchorId="7259D498" wp14:editId="062E33E3">
            <wp:extent cx="5486400" cy="466094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660948"/>
                    </a:xfrm>
                    <a:prstGeom prst="rect">
                      <a:avLst/>
                    </a:prstGeom>
                  </pic:spPr>
                </pic:pic>
              </a:graphicData>
            </a:graphic>
          </wp:inline>
        </w:drawing>
      </w:r>
    </w:p>
    <w:p w14:paraId="2894DFC8" w14:textId="311F41B6" w:rsidR="00E16882" w:rsidRPr="00F649EE" w:rsidRDefault="00E16882"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6</w:t>
      </w:r>
      <w:r w:rsidRPr="00F649EE">
        <w:rPr>
          <w:rFonts w:ascii="Arial" w:hAnsi="Arial" w:cs="Arial"/>
          <w:b/>
          <w:color w:val="000000"/>
          <w:sz w:val="20"/>
          <w:szCs w:val="20"/>
        </w:rPr>
        <w:t xml:space="preserve">. </w:t>
      </w:r>
      <w:r w:rsidRPr="00E16882">
        <w:rPr>
          <w:rFonts w:ascii="Arial" w:hAnsi="Arial" w:cs="Arial"/>
          <w:b/>
          <w:bCs/>
          <w:color w:val="000000"/>
          <w:sz w:val="20"/>
          <w:szCs w:val="20"/>
        </w:rPr>
        <w:t>A)</w:t>
      </w:r>
      <w:r w:rsidRPr="00374A77">
        <w:rPr>
          <w:rFonts w:ascii="Arial" w:hAnsi="Arial" w:cs="Arial"/>
          <w:color w:val="000000"/>
          <w:sz w:val="20"/>
          <w:szCs w:val="20"/>
        </w:rPr>
        <w:t xml:space="preserve"> Schematic of agent states, S: susceptible to colonization and C: colonized. </w:t>
      </w:r>
      <w:r w:rsidRPr="00E16882">
        <w:rPr>
          <w:rFonts w:ascii="Arial" w:hAnsi="Arial" w:cs="Arial"/>
          <w:b/>
          <w:bCs/>
          <w:color w:val="000000"/>
          <w:sz w:val="20"/>
          <w:szCs w:val="20"/>
        </w:rPr>
        <w:t>B)</w:t>
      </w:r>
      <w:r w:rsidRPr="00374A77">
        <w:rPr>
          <w:rFonts w:ascii="Arial" w:hAnsi="Arial" w:cs="Arial"/>
          <w:color w:val="000000"/>
          <w:sz w:val="20"/>
          <w:szCs w:val="20"/>
        </w:rPr>
        <w:t xml:space="preserve"> Model diagram showing the colonization process for a single ward facility; </w:t>
      </w:r>
      <m:oMath>
        <m:sSup>
          <m:sSupPr>
            <m:ctrlPr>
              <w:rPr>
                <w:rFonts w:ascii="Cambria Math" w:hAnsi="Cambria Math" w:cs="Arial"/>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oMath>
      <w:r>
        <w:rPr>
          <w:rFonts w:ascii="Arial" w:hAnsi="Arial" w:cs="Arial"/>
          <w:color w:val="000000"/>
          <w:sz w:val="20"/>
          <w:szCs w:val="20"/>
        </w:rPr>
        <w:t xml:space="preserve"> </w:t>
      </w:r>
      <w:r w:rsidRPr="00374A77">
        <w:rPr>
          <w:rFonts w:ascii="Arial" w:hAnsi="Arial" w:cs="Arial"/>
          <w:color w:val="000000"/>
          <w:sz w:val="20"/>
          <w:szCs w:val="20"/>
        </w:rPr>
        <w:t xml:space="preserve">is the force of Infection for ward i, </w:t>
      </w:r>
      <m:oMath>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374A77">
        <w:rPr>
          <w:rFonts w:ascii="Arial" w:hAnsi="Arial" w:cs="Arial"/>
          <w:color w:val="000000"/>
          <w:sz w:val="20"/>
          <w:szCs w:val="20"/>
        </w:rPr>
        <w:t xml:space="preserve">. </w:t>
      </w:r>
      <w:r w:rsidRPr="00E16882">
        <w:rPr>
          <w:rFonts w:ascii="Arial" w:hAnsi="Arial" w:cs="Arial"/>
          <w:b/>
          <w:bCs/>
          <w:color w:val="000000"/>
          <w:sz w:val="20"/>
          <w:szCs w:val="20"/>
        </w:rPr>
        <w:t>C)</w:t>
      </w:r>
      <w:r w:rsidRPr="00374A77">
        <w:rPr>
          <w:rFonts w:ascii="Arial" w:hAnsi="Arial" w:cs="Arial"/>
          <w:color w:val="000000"/>
          <w:sz w:val="20"/>
          <w:szCs w:val="20"/>
        </w:rPr>
        <w:t xml:space="preserve"> Schematic of a hospital with 2 wards of different size; arrows show the movement process within the hospital at the ward level: admission to the hospital network, transfer between wards, and discharge from the hospital network.</w:t>
      </w:r>
    </w:p>
    <w:p w14:paraId="2018B6C3" w14:textId="77777777" w:rsidR="00E16882" w:rsidRPr="00980C2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32181CE8" w14:textId="5944752E"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25057E7" w14:textId="59A35154"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73F4CE" w14:textId="20837541"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E360019" w14:textId="0A974A14"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01A72C" w14:textId="29D85FA9"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lastRenderedPageBreak/>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3AD9521B" w14:textId="77777777"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731FDF5" w14:textId="77777777" w:rsidR="00374A77" w:rsidRDefault="00374A77"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E43253C" w14:textId="77777777" w:rsidR="00962E89" w:rsidRDefault="00962E89" w:rsidP="008631B0">
      <w:pPr>
        <w:spacing w:line="360" w:lineRule="auto"/>
        <w:jc w:val="both"/>
        <w:rPr>
          <w:rFonts w:ascii="Arial" w:hAnsi="Arial" w:cs="Arial"/>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1</w:t>
      </w:r>
      <w:r w:rsidRPr="00F649EE">
        <w:rPr>
          <w:rFonts w:ascii="Arial" w:hAnsi="Arial" w:cs="Arial"/>
          <w:b/>
          <w:color w:val="000000"/>
          <w:sz w:val="20"/>
          <w:szCs w:val="20"/>
        </w:rPr>
        <w:t>.</w:t>
      </w:r>
      <w:r w:rsidRPr="00F649EE">
        <w:rPr>
          <w:rFonts w:ascii="Arial" w:hAnsi="Arial" w:cs="Arial"/>
          <w:color w:val="000000"/>
          <w:sz w:val="20"/>
          <w:szCs w:val="20"/>
        </w:rPr>
        <w:t xml:space="preserve"> </w:t>
      </w:r>
      <w:r>
        <w:rPr>
          <w:rFonts w:ascii="Arial" w:hAnsi="Arial" w:cs="Arial"/>
          <w:sz w:val="20"/>
          <w:szCs w:val="20"/>
        </w:rPr>
        <w:t>Parameters used for synthetic scenarios and investigation of ABM identifiability.</w:t>
      </w:r>
    </w:p>
    <w:tbl>
      <w:tblPr>
        <w:tblStyle w:val="TableGridLight"/>
        <w:tblW w:w="6505" w:type="dxa"/>
        <w:tblLook w:val="04A0" w:firstRow="1" w:lastRow="0" w:firstColumn="1" w:lastColumn="0" w:noHBand="0" w:noVBand="1"/>
      </w:tblPr>
      <w:tblGrid>
        <w:gridCol w:w="1413"/>
        <w:gridCol w:w="2161"/>
        <w:gridCol w:w="2931"/>
      </w:tblGrid>
      <w:tr w:rsidR="00962E89" w14:paraId="750CB168" w14:textId="77777777">
        <w:trPr>
          <w:trHeight w:val="363"/>
        </w:trPr>
        <w:tc>
          <w:tcPr>
            <w:tcW w:w="1413" w:type="dxa"/>
          </w:tcPr>
          <w:p w14:paraId="20D690FF" w14:textId="77777777" w:rsidR="00962E89" w:rsidRPr="00435065" w:rsidRDefault="00962E89" w:rsidP="008631B0">
            <w:pPr>
              <w:spacing w:line="360" w:lineRule="auto"/>
              <w:jc w:val="both"/>
              <w:rPr>
                <w:rFonts w:ascii="Arial" w:hAnsi="Arial" w:cs="Arial"/>
                <w:b/>
                <w:bCs/>
                <w:sz w:val="20"/>
                <w:szCs w:val="20"/>
              </w:rPr>
            </w:pPr>
          </w:p>
        </w:tc>
        <w:tc>
          <w:tcPr>
            <w:tcW w:w="2161" w:type="dxa"/>
          </w:tcPr>
          <w:p w14:paraId="62853996" w14:textId="77777777" w:rsidR="00962E89" w:rsidRPr="00815EF8" w:rsidRDefault="00962E89" w:rsidP="008631B0">
            <w:pPr>
              <w:spacing w:line="360" w:lineRule="auto"/>
              <w:jc w:val="center"/>
              <w:rPr>
                <w:rFonts w:ascii="Arial" w:hAnsi="Arial" w:cs="Arial"/>
                <w:b/>
                <w:bCs/>
                <w:sz w:val="20"/>
                <w:szCs w:val="20"/>
              </w:rPr>
            </w:pPr>
            <w:r>
              <w:rPr>
                <w:rFonts w:ascii="Arial" w:hAnsi="Arial" w:cs="Arial"/>
                <w:b/>
                <w:bCs/>
                <w:sz w:val="20"/>
                <w:szCs w:val="20"/>
              </w:rPr>
              <w:t xml:space="preserve">Importation probability </w:t>
            </w:r>
            <m:oMath>
              <m:r>
                <m:rPr>
                  <m:sty m:val="bi"/>
                </m:rPr>
                <w:rPr>
                  <w:rFonts w:ascii="Cambria Math" w:hAnsi="Cambria Math" w:cs="Arial"/>
                  <w:sz w:val="20"/>
                  <w:szCs w:val="20"/>
                </w:rPr>
                <m:t>γ</m:t>
              </m:r>
            </m:oMath>
          </w:p>
        </w:tc>
        <w:tc>
          <w:tcPr>
            <w:tcW w:w="2931" w:type="dxa"/>
          </w:tcPr>
          <w:p w14:paraId="2BFF1D1D" w14:textId="77777777" w:rsidR="00962E89" w:rsidRPr="00815EF8" w:rsidRDefault="00962E89" w:rsidP="008631B0">
            <w:pPr>
              <w:spacing w:line="360" w:lineRule="auto"/>
              <w:jc w:val="center"/>
              <w:rPr>
                <w:rFonts w:ascii="Arial" w:hAnsi="Arial" w:cs="Arial"/>
                <w:b/>
                <w:bCs/>
                <w:sz w:val="20"/>
                <w:szCs w:val="20"/>
              </w:rPr>
            </w:pPr>
            <w:r>
              <w:rPr>
                <w:rFonts w:ascii="Arial" w:hAnsi="Arial" w:cs="Arial"/>
                <w:b/>
                <w:bCs/>
                <w:sz w:val="20"/>
                <w:szCs w:val="20"/>
              </w:rPr>
              <w:t xml:space="preserve">Nosocomial contact transmission rate </w:t>
            </w:r>
            <m:oMath>
              <m:r>
                <m:rPr>
                  <m:sty m:val="bi"/>
                </m:rPr>
                <w:rPr>
                  <w:rFonts w:ascii="Cambria Math" w:hAnsi="Cambria Math" w:cs="Arial"/>
                  <w:sz w:val="20"/>
                  <w:szCs w:val="20"/>
                </w:rPr>
                <m:t>β</m:t>
              </m:r>
            </m:oMath>
          </w:p>
        </w:tc>
      </w:tr>
      <w:tr w:rsidR="00962E89" w14:paraId="67D384E1" w14:textId="77777777">
        <w:trPr>
          <w:trHeight w:val="262"/>
        </w:trPr>
        <w:tc>
          <w:tcPr>
            <w:tcW w:w="1413" w:type="dxa"/>
          </w:tcPr>
          <w:p w14:paraId="02FED4C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1</w:t>
            </w:r>
          </w:p>
        </w:tc>
        <w:tc>
          <w:tcPr>
            <w:tcW w:w="2161" w:type="dxa"/>
          </w:tcPr>
          <w:p w14:paraId="053487DF"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0.10</w:t>
            </w:r>
          </w:p>
        </w:tc>
        <w:tc>
          <w:tcPr>
            <w:tcW w:w="2931" w:type="dxa"/>
          </w:tcPr>
          <w:p w14:paraId="4B4D1961"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01288622" w14:textId="77777777">
        <w:trPr>
          <w:trHeight w:val="363"/>
        </w:trPr>
        <w:tc>
          <w:tcPr>
            <w:tcW w:w="1413" w:type="dxa"/>
          </w:tcPr>
          <w:p w14:paraId="389D96D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2</w:t>
            </w:r>
          </w:p>
        </w:tc>
        <w:tc>
          <w:tcPr>
            <w:tcW w:w="2161" w:type="dxa"/>
          </w:tcPr>
          <w:p w14:paraId="10AF72B2"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0.05</w:t>
            </w:r>
          </w:p>
        </w:tc>
        <w:tc>
          <w:tcPr>
            <w:tcW w:w="2931" w:type="dxa"/>
          </w:tcPr>
          <w:p w14:paraId="35CFD4EE"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0AE3670D" w14:textId="77777777">
        <w:trPr>
          <w:trHeight w:val="363"/>
        </w:trPr>
        <w:tc>
          <w:tcPr>
            <w:tcW w:w="1413" w:type="dxa"/>
          </w:tcPr>
          <w:p w14:paraId="0AAE676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3</w:t>
            </w:r>
          </w:p>
        </w:tc>
        <w:tc>
          <w:tcPr>
            <w:tcW w:w="2161" w:type="dxa"/>
          </w:tcPr>
          <w:p w14:paraId="5FC16B8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0.07</w:t>
            </w:r>
          </w:p>
        </w:tc>
        <w:tc>
          <w:tcPr>
            <w:tcW w:w="2931" w:type="dxa"/>
          </w:tcPr>
          <w:p w14:paraId="1A4602BA"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3B69F689" w14:textId="77777777">
        <w:trPr>
          <w:trHeight w:val="363"/>
        </w:trPr>
        <w:tc>
          <w:tcPr>
            <w:tcW w:w="1413" w:type="dxa"/>
          </w:tcPr>
          <w:p w14:paraId="50F50A28"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4</w:t>
            </w:r>
          </w:p>
        </w:tc>
        <w:tc>
          <w:tcPr>
            <w:tcW w:w="2161" w:type="dxa"/>
          </w:tcPr>
          <w:p w14:paraId="63936F5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0.10</w:t>
            </w:r>
          </w:p>
        </w:tc>
        <w:tc>
          <w:tcPr>
            <w:tcW w:w="2931" w:type="dxa"/>
          </w:tcPr>
          <w:p w14:paraId="2A23D332"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w:t>
            </w:r>
          </w:p>
        </w:tc>
      </w:tr>
      <w:tr w:rsidR="00962E89" w14:paraId="5317D4D1" w14:textId="77777777">
        <w:trPr>
          <w:trHeight w:val="363"/>
        </w:trPr>
        <w:tc>
          <w:tcPr>
            <w:tcW w:w="1413" w:type="dxa"/>
          </w:tcPr>
          <w:p w14:paraId="6B23C9A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5</w:t>
            </w:r>
          </w:p>
        </w:tc>
        <w:tc>
          <w:tcPr>
            <w:tcW w:w="2161" w:type="dxa"/>
          </w:tcPr>
          <w:p w14:paraId="56FBC403"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w:t>
            </w:r>
          </w:p>
        </w:tc>
        <w:tc>
          <w:tcPr>
            <w:tcW w:w="2931" w:type="dxa"/>
          </w:tcPr>
          <w:p w14:paraId="139B97B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w:t>
            </w:r>
          </w:p>
        </w:tc>
      </w:tr>
      <w:tr w:rsidR="00962E89" w14:paraId="40348CE6" w14:textId="77777777">
        <w:trPr>
          <w:trHeight w:val="363"/>
        </w:trPr>
        <w:tc>
          <w:tcPr>
            <w:tcW w:w="1413" w:type="dxa"/>
          </w:tcPr>
          <w:p w14:paraId="544C3C8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6</w:t>
            </w:r>
          </w:p>
        </w:tc>
        <w:tc>
          <w:tcPr>
            <w:tcW w:w="2161" w:type="dxa"/>
          </w:tcPr>
          <w:p w14:paraId="0BB9EDE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w:t>
            </w:r>
          </w:p>
        </w:tc>
        <w:tc>
          <w:tcPr>
            <w:tcW w:w="2931" w:type="dxa"/>
          </w:tcPr>
          <w:p w14:paraId="76E8132D"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0.025</w:t>
            </w:r>
          </w:p>
        </w:tc>
      </w:tr>
      <w:tr w:rsidR="00962E89" w14:paraId="6BEF09D1" w14:textId="77777777">
        <w:trPr>
          <w:trHeight w:val="363"/>
        </w:trPr>
        <w:tc>
          <w:tcPr>
            <w:tcW w:w="1413" w:type="dxa"/>
          </w:tcPr>
          <w:p w14:paraId="3B0E2E98"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7</w:t>
            </w:r>
          </w:p>
        </w:tc>
        <w:tc>
          <w:tcPr>
            <w:tcW w:w="2161" w:type="dxa"/>
          </w:tcPr>
          <w:p w14:paraId="2A1E4B4C"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0.015</w:t>
            </w:r>
          </w:p>
        </w:tc>
        <w:tc>
          <w:tcPr>
            <w:tcW w:w="2931" w:type="dxa"/>
          </w:tcPr>
          <w:p w14:paraId="673B606C"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w:t>
            </w:r>
          </w:p>
        </w:tc>
      </w:tr>
      <w:tr w:rsidR="00962E89" w14:paraId="10DD4A81" w14:textId="77777777">
        <w:trPr>
          <w:trHeight w:val="363"/>
        </w:trPr>
        <w:tc>
          <w:tcPr>
            <w:tcW w:w="1413" w:type="dxa"/>
          </w:tcPr>
          <w:p w14:paraId="4C58770F"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8</w:t>
            </w:r>
          </w:p>
        </w:tc>
        <w:tc>
          <w:tcPr>
            <w:tcW w:w="2161" w:type="dxa"/>
          </w:tcPr>
          <w:p w14:paraId="78DC561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0.15</w:t>
            </w:r>
          </w:p>
        </w:tc>
        <w:tc>
          <w:tcPr>
            <w:tcW w:w="2931" w:type="dxa"/>
          </w:tcPr>
          <w:p w14:paraId="37DF697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577915EA" w14:textId="77777777">
        <w:trPr>
          <w:trHeight w:val="363"/>
        </w:trPr>
        <w:tc>
          <w:tcPr>
            <w:tcW w:w="1413" w:type="dxa"/>
          </w:tcPr>
          <w:p w14:paraId="147FF5A8"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9</w:t>
            </w:r>
          </w:p>
        </w:tc>
        <w:tc>
          <w:tcPr>
            <w:tcW w:w="2161" w:type="dxa"/>
          </w:tcPr>
          <w:p w14:paraId="0BFFE9C1"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0.20</w:t>
            </w:r>
          </w:p>
        </w:tc>
        <w:tc>
          <w:tcPr>
            <w:tcW w:w="2931" w:type="dxa"/>
          </w:tcPr>
          <w:p w14:paraId="73B73BA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w:t>
            </w:r>
          </w:p>
        </w:tc>
      </w:tr>
      <w:tr w:rsidR="00962E89" w14:paraId="65CA8F22" w14:textId="77777777">
        <w:trPr>
          <w:trHeight w:val="363"/>
        </w:trPr>
        <w:tc>
          <w:tcPr>
            <w:tcW w:w="1413" w:type="dxa"/>
          </w:tcPr>
          <w:p w14:paraId="5B4AA98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10</w:t>
            </w:r>
          </w:p>
        </w:tc>
        <w:tc>
          <w:tcPr>
            <w:tcW w:w="2161" w:type="dxa"/>
          </w:tcPr>
          <w:p w14:paraId="5A56224A"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0.30</w:t>
            </w:r>
          </w:p>
        </w:tc>
        <w:tc>
          <w:tcPr>
            <w:tcW w:w="2931" w:type="dxa"/>
          </w:tcPr>
          <w:p w14:paraId="356E5BF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0.035</w:t>
            </w:r>
          </w:p>
        </w:tc>
      </w:tr>
    </w:tbl>
    <w:p w14:paraId="4E25F28B" w14:textId="19AA5F94" w:rsidR="00962E89" w:rsidRDefault="00962E89" w:rsidP="008631B0">
      <w:pPr>
        <w:spacing w:line="360" w:lineRule="auto"/>
        <w:jc w:val="both"/>
        <w:rPr>
          <w:rFonts w:ascii="Arial" w:hAnsi="Arial" w:cs="Arial"/>
          <w:sz w:val="20"/>
          <w:szCs w:val="20"/>
        </w:rPr>
      </w:pPr>
    </w:p>
    <w:p w14:paraId="38217EB1" w14:textId="53694B95" w:rsidR="00673330" w:rsidRDefault="00673330" w:rsidP="008631B0">
      <w:pPr>
        <w:spacing w:line="360" w:lineRule="auto"/>
        <w:jc w:val="both"/>
        <w:rPr>
          <w:rFonts w:ascii="Arial" w:hAnsi="Arial" w:cs="Arial"/>
          <w:sz w:val="20"/>
          <w:szCs w:val="20"/>
        </w:rPr>
      </w:pPr>
    </w:p>
    <w:p w14:paraId="09857969" w14:textId="21BC6253" w:rsidR="00673330" w:rsidRDefault="00E16882" w:rsidP="008631B0">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lastRenderedPageBreak/>
        <w:br/>
      </w:r>
    </w:p>
    <w:p w14:paraId="507B1E38" w14:textId="77777777"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A5A62D6" w14:textId="77777777" w:rsidR="00962E89" w:rsidRDefault="00962E89"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2</w:t>
      </w:r>
      <w:r w:rsidRPr="00F649EE">
        <w:rPr>
          <w:rFonts w:ascii="Arial" w:hAnsi="Arial" w:cs="Arial"/>
          <w:b/>
          <w:color w:val="000000"/>
          <w:sz w:val="20"/>
          <w:szCs w:val="20"/>
        </w:rPr>
        <w:t>.</w:t>
      </w:r>
      <w:r w:rsidRPr="00F649EE">
        <w:rPr>
          <w:rFonts w:ascii="Arial" w:hAnsi="Arial" w:cs="Arial"/>
          <w:color w:val="000000"/>
          <w:sz w:val="20"/>
          <w:szCs w:val="20"/>
        </w:rPr>
        <w:t xml:space="preserve"> </w:t>
      </w:r>
      <w:r w:rsidRPr="00962E89">
        <w:rPr>
          <w:rFonts w:ascii="Arial" w:hAnsi="Arial" w:cs="Arial"/>
          <w:b/>
          <w:bCs/>
          <w:color w:val="000000"/>
          <w:sz w:val="20"/>
          <w:szCs w:val="20"/>
        </w:rPr>
        <w:t>Posterior estimates</w:t>
      </w:r>
      <w:r w:rsidRPr="00962E89">
        <w:rPr>
          <w:rFonts w:ascii="Arial" w:hAnsi="Arial" w:cs="Arial"/>
          <w:color w:val="000000"/>
          <w:sz w:val="20"/>
          <w:szCs w:val="20"/>
        </w:rPr>
        <w:t xml:space="preserve">. Mean posterior estimates for the eight species studied; both </w:t>
      </w:r>
    </w:p>
    <w:p w14:paraId="05EB40A8" w14:textId="50A3E378"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62E89">
        <w:rPr>
          <w:rFonts w:ascii="Arial" w:hAnsi="Arial" w:cs="Arial"/>
          <w:color w:val="000000"/>
          <w:sz w:val="20"/>
          <w:szCs w:val="20"/>
        </w:rPr>
        <w:t>importation and nosocomial transmission rates, γ and β, are presented as rates per day.</w:t>
      </w:r>
    </w:p>
    <w:tbl>
      <w:tblPr>
        <w:tblStyle w:val="TableGridLight"/>
        <w:tblW w:w="8642" w:type="dxa"/>
        <w:tblLook w:val="04A0" w:firstRow="1" w:lastRow="0" w:firstColumn="1" w:lastColumn="0" w:noHBand="0" w:noVBand="1"/>
      </w:tblPr>
      <w:tblGrid>
        <w:gridCol w:w="2261"/>
        <w:gridCol w:w="2783"/>
        <w:gridCol w:w="3598"/>
      </w:tblGrid>
      <w:tr w:rsidR="00962E89" w14:paraId="0408E9A7" w14:textId="77777777">
        <w:trPr>
          <w:trHeight w:val="363"/>
        </w:trPr>
        <w:tc>
          <w:tcPr>
            <w:tcW w:w="2261" w:type="dxa"/>
          </w:tcPr>
          <w:p w14:paraId="388E8954" w14:textId="77777777" w:rsidR="00962E89" w:rsidRPr="00D57DF5" w:rsidRDefault="00962E89" w:rsidP="008631B0">
            <w:pPr>
              <w:spacing w:line="360" w:lineRule="auto"/>
              <w:jc w:val="both"/>
              <w:rPr>
                <w:rFonts w:ascii="Arial" w:hAnsi="Arial" w:cs="Arial"/>
                <w:b/>
                <w:bCs/>
                <w:sz w:val="20"/>
                <w:szCs w:val="20"/>
              </w:rPr>
            </w:pPr>
            <w:r>
              <w:rPr>
                <w:rFonts w:ascii="Arial" w:hAnsi="Arial" w:cs="Arial"/>
                <w:b/>
                <w:bCs/>
                <w:sz w:val="20"/>
                <w:szCs w:val="20"/>
              </w:rPr>
              <w:t>Organism</w:t>
            </w:r>
          </w:p>
        </w:tc>
        <w:tc>
          <w:tcPr>
            <w:tcW w:w="2783" w:type="dxa"/>
          </w:tcPr>
          <w:p w14:paraId="4F373055" w14:textId="77777777" w:rsidR="00962E89" w:rsidRPr="00815EF8" w:rsidRDefault="00962E89" w:rsidP="008631B0">
            <w:pPr>
              <w:spacing w:line="360" w:lineRule="auto"/>
              <w:jc w:val="both"/>
              <w:rPr>
                <w:rFonts w:ascii="Arial" w:hAnsi="Arial" w:cs="Arial"/>
                <w:b/>
                <w:bCs/>
                <w:sz w:val="20"/>
                <w:szCs w:val="20"/>
              </w:rPr>
            </w:pPr>
            <w:r>
              <w:rPr>
                <w:rFonts w:ascii="Arial" w:hAnsi="Arial" w:cs="Arial"/>
                <w:b/>
                <w:bCs/>
                <w:sz w:val="20"/>
                <w:szCs w:val="20"/>
              </w:rPr>
              <w:t xml:space="preserve">Importation probability </w:t>
            </w:r>
            <m:oMath>
              <m:r>
                <m:rPr>
                  <m:sty m:val="bi"/>
                </m:rPr>
                <w:rPr>
                  <w:rFonts w:ascii="Cambria Math" w:hAnsi="Cambria Math" w:cs="Arial"/>
                  <w:sz w:val="20"/>
                  <w:szCs w:val="20"/>
                </w:rPr>
                <m:t>γ</m:t>
              </m:r>
            </m:oMath>
          </w:p>
        </w:tc>
        <w:tc>
          <w:tcPr>
            <w:tcW w:w="3598" w:type="dxa"/>
          </w:tcPr>
          <w:p w14:paraId="13461E66" w14:textId="77777777" w:rsidR="00962E89" w:rsidRPr="00815EF8" w:rsidRDefault="00962E89" w:rsidP="008631B0">
            <w:pPr>
              <w:spacing w:line="360" w:lineRule="auto"/>
              <w:jc w:val="both"/>
              <w:rPr>
                <w:rFonts w:ascii="Arial" w:hAnsi="Arial" w:cs="Arial"/>
                <w:b/>
                <w:bCs/>
                <w:sz w:val="20"/>
                <w:szCs w:val="20"/>
              </w:rPr>
            </w:pPr>
            <w:r>
              <w:rPr>
                <w:rFonts w:ascii="Arial" w:hAnsi="Arial" w:cs="Arial"/>
                <w:b/>
                <w:bCs/>
                <w:sz w:val="20"/>
                <w:szCs w:val="20"/>
              </w:rPr>
              <w:t xml:space="preserve">Nosocomial transmission rate </w:t>
            </w:r>
            <m:oMath>
              <m:r>
                <m:rPr>
                  <m:sty m:val="bi"/>
                </m:rPr>
                <w:rPr>
                  <w:rFonts w:ascii="Cambria Math" w:hAnsi="Cambria Math" w:cs="Arial"/>
                  <w:sz w:val="20"/>
                  <w:szCs w:val="20"/>
                </w:rPr>
                <m:t>β</m:t>
              </m:r>
            </m:oMath>
          </w:p>
        </w:tc>
      </w:tr>
      <w:tr w:rsidR="00962E89" w14:paraId="4969E3C9" w14:textId="77777777">
        <w:trPr>
          <w:trHeight w:val="262"/>
        </w:trPr>
        <w:tc>
          <w:tcPr>
            <w:tcW w:w="2261" w:type="dxa"/>
          </w:tcPr>
          <w:p w14:paraId="64F860CA" w14:textId="77777777" w:rsidR="00962E89" w:rsidRPr="0072727A" w:rsidRDefault="00962E89" w:rsidP="008631B0">
            <w:pPr>
              <w:spacing w:line="360" w:lineRule="auto"/>
              <w:rPr>
                <w:rFonts w:ascii="Arial" w:hAnsi="Arial" w:cs="Arial"/>
                <w:i/>
                <w:iCs/>
                <w:sz w:val="20"/>
                <w:szCs w:val="20"/>
              </w:rPr>
            </w:pPr>
            <w:r w:rsidRPr="0072727A">
              <w:rPr>
                <w:rFonts w:ascii="Arial" w:hAnsi="Arial" w:cs="Arial"/>
                <w:i/>
                <w:iCs/>
                <w:sz w:val="20"/>
                <w:szCs w:val="20"/>
              </w:rPr>
              <w:t xml:space="preserve">E. </w:t>
            </w:r>
            <w:r>
              <w:rPr>
                <w:rFonts w:ascii="Arial" w:hAnsi="Arial" w:cs="Arial"/>
                <w:i/>
                <w:iCs/>
                <w:sz w:val="20"/>
                <w:szCs w:val="20"/>
              </w:rPr>
              <w:t>c</w:t>
            </w:r>
            <w:r w:rsidRPr="0072727A">
              <w:rPr>
                <w:rFonts w:ascii="Arial" w:hAnsi="Arial" w:cs="Arial"/>
                <w:i/>
                <w:iCs/>
                <w:sz w:val="20"/>
                <w:szCs w:val="20"/>
              </w:rPr>
              <w:t>oli</w:t>
            </w:r>
          </w:p>
        </w:tc>
        <w:tc>
          <w:tcPr>
            <w:tcW w:w="2783" w:type="dxa"/>
          </w:tcPr>
          <w:p w14:paraId="27A61D4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0.64</w:t>
            </w:r>
          </w:p>
        </w:tc>
        <w:tc>
          <w:tcPr>
            <w:tcW w:w="3598" w:type="dxa"/>
          </w:tcPr>
          <w:p w14:paraId="2ABDAB8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0.0022</w:t>
            </w:r>
          </w:p>
        </w:tc>
      </w:tr>
      <w:tr w:rsidR="00962E89" w14:paraId="3A8542C0" w14:textId="77777777">
        <w:trPr>
          <w:trHeight w:val="363"/>
        </w:trPr>
        <w:tc>
          <w:tcPr>
            <w:tcW w:w="2261" w:type="dxa"/>
          </w:tcPr>
          <w:p w14:paraId="7E546105"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K. </w:t>
            </w:r>
            <w:r>
              <w:rPr>
                <w:rFonts w:ascii="Arial" w:hAnsi="Arial" w:cs="Arial"/>
                <w:i/>
                <w:iCs/>
                <w:sz w:val="20"/>
                <w:szCs w:val="20"/>
              </w:rPr>
              <w:t>p</w:t>
            </w:r>
            <w:r w:rsidRPr="005D2456">
              <w:rPr>
                <w:rFonts w:ascii="Arial" w:hAnsi="Arial" w:cs="Arial"/>
                <w:i/>
                <w:iCs/>
                <w:sz w:val="20"/>
                <w:szCs w:val="20"/>
              </w:rPr>
              <w:t>neumoniae</w:t>
            </w:r>
          </w:p>
        </w:tc>
        <w:tc>
          <w:tcPr>
            <w:tcW w:w="2783" w:type="dxa"/>
          </w:tcPr>
          <w:p w14:paraId="061AF63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0.26</w:t>
            </w:r>
          </w:p>
        </w:tc>
        <w:tc>
          <w:tcPr>
            <w:tcW w:w="3598" w:type="dxa"/>
          </w:tcPr>
          <w:p w14:paraId="5363E642"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0.00875</w:t>
            </w:r>
          </w:p>
        </w:tc>
      </w:tr>
      <w:tr w:rsidR="00962E89" w14:paraId="61427FAD" w14:textId="77777777">
        <w:trPr>
          <w:trHeight w:val="363"/>
        </w:trPr>
        <w:tc>
          <w:tcPr>
            <w:tcW w:w="2261" w:type="dxa"/>
          </w:tcPr>
          <w:p w14:paraId="255E923F"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MSSA</w:t>
            </w:r>
          </w:p>
        </w:tc>
        <w:tc>
          <w:tcPr>
            <w:tcW w:w="2783" w:type="dxa"/>
          </w:tcPr>
          <w:p w14:paraId="381D543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0.145</w:t>
            </w:r>
          </w:p>
        </w:tc>
        <w:tc>
          <w:tcPr>
            <w:tcW w:w="3598" w:type="dxa"/>
          </w:tcPr>
          <w:p w14:paraId="5834162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0.020</w:t>
            </w:r>
          </w:p>
        </w:tc>
      </w:tr>
      <w:tr w:rsidR="00962E89" w14:paraId="5A982D67" w14:textId="77777777">
        <w:trPr>
          <w:trHeight w:val="363"/>
        </w:trPr>
        <w:tc>
          <w:tcPr>
            <w:tcW w:w="2261" w:type="dxa"/>
          </w:tcPr>
          <w:p w14:paraId="4F2901D0"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MRSA</w:t>
            </w:r>
          </w:p>
        </w:tc>
        <w:tc>
          <w:tcPr>
            <w:tcW w:w="2783" w:type="dxa"/>
          </w:tcPr>
          <w:p w14:paraId="73376CF7"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0.11</w:t>
            </w:r>
          </w:p>
        </w:tc>
        <w:tc>
          <w:tcPr>
            <w:tcW w:w="3598" w:type="dxa"/>
          </w:tcPr>
          <w:p w14:paraId="305C28D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0.0148</w:t>
            </w:r>
          </w:p>
        </w:tc>
      </w:tr>
      <w:tr w:rsidR="00962E89" w14:paraId="70C10173" w14:textId="77777777">
        <w:trPr>
          <w:trHeight w:val="363"/>
        </w:trPr>
        <w:tc>
          <w:tcPr>
            <w:tcW w:w="2261" w:type="dxa"/>
          </w:tcPr>
          <w:p w14:paraId="1B12AC13"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C. </w:t>
            </w:r>
            <w:r>
              <w:rPr>
                <w:rFonts w:ascii="Arial" w:hAnsi="Arial" w:cs="Arial"/>
                <w:i/>
                <w:iCs/>
                <w:sz w:val="20"/>
                <w:szCs w:val="20"/>
              </w:rPr>
              <w:t>a</w:t>
            </w:r>
            <w:r w:rsidRPr="005D2456">
              <w:rPr>
                <w:rFonts w:ascii="Arial" w:hAnsi="Arial" w:cs="Arial"/>
                <w:i/>
                <w:iCs/>
                <w:sz w:val="20"/>
                <w:szCs w:val="20"/>
              </w:rPr>
              <w:t>lbicans</w:t>
            </w:r>
          </w:p>
        </w:tc>
        <w:tc>
          <w:tcPr>
            <w:tcW w:w="2783" w:type="dxa"/>
          </w:tcPr>
          <w:p w14:paraId="36601EB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0.11</w:t>
            </w:r>
          </w:p>
        </w:tc>
        <w:tc>
          <w:tcPr>
            <w:tcW w:w="3598" w:type="dxa"/>
          </w:tcPr>
          <w:p w14:paraId="2086DC6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0.0244</w:t>
            </w:r>
          </w:p>
        </w:tc>
      </w:tr>
      <w:tr w:rsidR="00962E89" w14:paraId="4B1C2B87" w14:textId="77777777">
        <w:trPr>
          <w:trHeight w:val="363"/>
        </w:trPr>
        <w:tc>
          <w:tcPr>
            <w:tcW w:w="2261" w:type="dxa"/>
          </w:tcPr>
          <w:p w14:paraId="376189EC"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S. </w:t>
            </w:r>
            <w:r>
              <w:rPr>
                <w:rFonts w:ascii="Arial" w:hAnsi="Arial" w:cs="Arial"/>
                <w:i/>
                <w:iCs/>
                <w:sz w:val="20"/>
                <w:szCs w:val="20"/>
              </w:rPr>
              <w:t>e</w:t>
            </w:r>
            <w:r w:rsidRPr="005D2456">
              <w:rPr>
                <w:rFonts w:ascii="Arial" w:hAnsi="Arial" w:cs="Arial"/>
                <w:i/>
                <w:iCs/>
                <w:sz w:val="20"/>
                <w:szCs w:val="20"/>
              </w:rPr>
              <w:t>pidermis</w:t>
            </w:r>
          </w:p>
        </w:tc>
        <w:tc>
          <w:tcPr>
            <w:tcW w:w="2783" w:type="dxa"/>
          </w:tcPr>
          <w:p w14:paraId="33F4E10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0.10</w:t>
            </w:r>
          </w:p>
        </w:tc>
        <w:tc>
          <w:tcPr>
            <w:tcW w:w="3598" w:type="dxa"/>
          </w:tcPr>
          <w:p w14:paraId="546894AA"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0.011</w:t>
            </w:r>
          </w:p>
        </w:tc>
      </w:tr>
      <w:tr w:rsidR="00962E89" w14:paraId="3A81E9C3" w14:textId="77777777">
        <w:trPr>
          <w:trHeight w:val="363"/>
        </w:trPr>
        <w:tc>
          <w:tcPr>
            <w:tcW w:w="2261" w:type="dxa"/>
          </w:tcPr>
          <w:p w14:paraId="12BEB7DB"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P. </w:t>
            </w:r>
            <w:r>
              <w:rPr>
                <w:rFonts w:ascii="Arial" w:hAnsi="Arial" w:cs="Arial"/>
                <w:i/>
                <w:iCs/>
                <w:sz w:val="20"/>
                <w:szCs w:val="20"/>
              </w:rPr>
              <w:t>a</w:t>
            </w:r>
            <w:r w:rsidRPr="005D2456">
              <w:rPr>
                <w:rFonts w:ascii="Arial" w:hAnsi="Arial" w:cs="Arial"/>
                <w:i/>
                <w:iCs/>
                <w:sz w:val="20"/>
                <w:szCs w:val="20"/>
              </w:rPr>
              <w:t>eruginosa</w:t>
            </w:r>
          </w:p>
        </w:tc>
        <w:tc>
          <w:tcPr>
            <w:tcW w:w="2783" w:type="dxa"/>
          </w:tcPr>
          <w:p w14:paraId="39A00FE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0.09</w:t>
            </w:r>
          </w:p>
        </w:tc>
        <w:tc>
          <w:tcPr>
            <w:tcW w:w="3598" w:type="dxa"/>
          </w:tcPr>
          <w:p w14:paraId="4C8F8F8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0.055</w:t>
            </w:r>
          </w:p>
        </w:tc>
      </w:tr>
      <w:tr w:rsidR="00962E89" w14:paraId="6A5679DE" w14:textId="77777777">
        <w:trPr>
          <w:trHeight w:val="363"/>
        </w:trPr>
        <w:tc>
          <w:tcPr>
            <w:tcW w:w="2261" w:type="dxa"/>
          </w:tcPr>
          <w:p w14:paraId="24F1AEC4"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E.</w:t>
            </w:r>
            <w:r>
              <w:rPr>
                <w:rFonts w:ascii="Arial" w:hAnsi="Arial" w:cs="Arial"/>
                <w:i/>
                <w:iCs/>
                <w:sz w:val="20"/>
                <w:szCs w:val="20"/>
              </w:rPr>
              <w:t>f</w:t>
            </w:r>
            <w:r w:rsidRPr="005D2456">
              <w:rPr>
                <w:rFonts w:ascii="Arial" w:hAnsi="Arial" w:cs="Arial"/>
                <w:i/>
                <w:iCs/>
                <w:sz w:val="20"/>
                <w:szCs w:val="20"/>
              </w:rPr>
              <w:t>aecalis</w:t>
            </w:r>
          </w:p>
        </w:tc>
        <w:tc>
          <w:tcPr>
            <w:tcW w:w="2783" w:type="dxa"/>
          </w:tcPr>
          <w:p w14:paraId="66CA4F4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0.09</w:t>
            </w:r>
          </w:p>
        </w:tc>
        <w:tc>
          <w:tcPr>
            <w:tcW w:w="3598" w:type="dxa"/>
          </w:tcPr>
          <w:p w14:paraId="7A50018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0.0052</w:t>
            </w:r>
          </w:p>
        </w:tc>
      </w:tr>
    </w:tbl>
    <w:p w14:paraId="421FC490" w14:textId="77777777" w:rsidR="00270945" w:rsidRPr="00980C22" w:rsidRDefault="00270945" w:rsidP="008631B0">
      <w:pPr>
        <w:spacing w:line="360" w:lineRule="auto"/>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40F1F" w14:textId="77777777" w:rsidR="004333C1" w:rsidRDefault="004333C1">
      <w:pPr>
        <w:spacing w:after="0"/>
      </w:pPr>
      <w:r>
        <w:separator/>
      </w:r>
    </w:p>
  </w:endnote>
  <w:endnote w:type="continuationSeparator" w:id="0">
    <w:p w14:paraId="1F638F6B" w14:textId="77777777" w:rsidR="004333C1" w:rsidRDefault="004333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261BD" w14:textId="77777777" w:rsidR="004333C1" w:rsidRDefault="004333C1">
      <w:pPr>
        <w:spacing w:after="0"/>
      </w:pPr>
      <w:r>
        <w:separator/>
      </w:r>
    </w:p>
  </w:footnote>
  <w:footnote w:type="continuationSeparator" w:id="0">
    <w:p w14:paraId="29DB7705" w14:textId="77777777" w:rsidR="004333C1" w:rsidRDefault="004333C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cante Vega, Jaime E.">
    <w15:presenceInfo w15:providerId="AD" w15:userId="S::jc5647@cumc.columbia.edu::3677c03d-1a31-4cc1-b5d3-d4cdd0e39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3CF9"/>
    <w:rsid w:val="00006658"/>
    <w:rsid w:val="00006B2A"/>
    <w:rsid w:val="000071C4"/>
    <w:rsid w:val="00013879"/>
    <w:rsid w:val="000209A5"/>
    <w:rsid w:val="000221F7"/>
    <w:rsid w:val="00043628"/>
    <w:rsid w:val="00043EF3"/>
    <w:rsid w:val="000446EF"/>
    <w:rsid w:val="00045125"/>
    <w:rsid w:val="00077CB2"/>
    <w:rsid w:val="000A5327"/>
    <w:rsid w:val="000A688F"/>
    <w:rsid w:val="000C15CD"/>
    <w:rsid w:val="000C223A"/>
    <w:rsid w:val="000C3044"/>
    <w:rsid w:val="000D101F"/>
    <w:rsid w:val="000E1854"/>
    <w:rsid w:val="000E38A1"/>
    <w:rsid w:val="000E3957"/>
    <w:rsid w:val="000E6773"/>
    <w:rsid w:val="00100E3B"/>
    <w:rsid w:val="0012110A"/>
    <w:rsid w:val="001243F8"/>
    <w:rsid w:val="001329A1"/>
    <w:rsid w:val="00132CE3"/>
    <w:rsid w:val="001331B3"/>
    <w:rsid w:val="0013667D"/>
    <w:rsid w:val="00141458"/>
    <w:rsid w:val="001603D8"/>
    <w:rsid w:val="001670D3"/>
    <w:rsid w:val="001A3103"/>
    <w:rsid w:val="001A4C71"/>
    <w:rsid w:val="001C4C9E"/>
    <w:rsid w:val="001D1BEC"/>
    <w:rsid w:val="001D2B40"/>
    <w:rsid w:val="001E07C7"/>
    <w:rsid w:val="001E62F7"/>
    <w:rsid w:val="001F43B4"/>
    <w:rsid w:val="00225F22"/>
    <w:rsid w:val="002457B3"/>
    <w:rsid w:val="002552C0"/>
    <w:rsid w:val="00267B92"/>
    <w:rsid w:val="00270945"/>
    <w:rsid w:val="00271336"/>
    <w:rsid w:val="00285406"/>
    <w:rsid w:val="002A12C0"/>
    <w:rsid w:val="002A3767"/>
    <w:rsid w:val="002A7053"/>
    <w:rsid w:val="002B2848"/>
    <w:rsid w:val="002C7DE0"/>
    <w:rsid w:val="002E78C2"/>
    <w:rsid w:val="002F1B0A"/>
    <w:rsid w:val="003234E4"/>
    <w:rsid w:val="0032688A"/>
    <w:rsid w:val="00326DFC"/>
    <w:rsid w:val="00333F4D"/>
    <w:rsid w:val="00374A77"/>
    <w:rsid w:val="0038068E"/>
    <w:rsid w:val="003830A5"/>
    <w:rsid w:val="003833B6"/>
    <w:rsid w:val="00383E4C"/>
    <w:rsid w:val="003852CD"/>
    <w:rsid w:val="00387E73"/>
    <w:rsid w:val="003A0985"/>
    <w:rsid w:val="003C3534"/>
    <w:rsid w:val="003D6104"/>
    <w:rsid w:val="003E113C"/>
    <w:rsid w:val="003E2CF3"/>
    <w:rsid w:val="003F1390"/>
    <w:rsid w:val="003F4F4E"/>
    <w:rsid w:val="004333C1"/>
    <w:rsid w:val="0045030B"/>
    <w:rsid w:val="00453F37"/>
    <w:rsid w:val="0046448C"/>
    <w:rsid w:val="00474D11"/>
    <w:rsid w:val="004768C8"/>
    <w:rsid w:val="00483D1D"/>
    <w:rsid w:val="00487C74"/>
    <w:rsid w:val="004916EC"/>
    <w:rsid w:val="00496FEB"/>
    <w:rsid w:val="004B135C"/>
    <w:rsid w:val="004B4E9F"/>
    <w:rsid w:val="004B52FA"/>
    <w:rsid w:val="004C0C41"/>
    <w:rsid w:val="004E0EBD"/>
    <w:rsid w:val="004E5C12"/>
    <w:rsid w:val="0051768D"/>
    <w:rsid w:val="00535C23"/>
    <w:rsid w:val="00545763"/>
    <w:rsid w:val="005655DF"/>
    <w:rsid w:val="005850F3"/>
    <w:rsid w:val="005A45AB"/>
    <w:rsid w:val="005A78D5"/>
    <w:rsid w:val="005B24B7"/>
    <w:rsid w:val="005B2D7F"/>
    <w:rsid w:val="005B3173"/>
    <w:rsid w:val="005B441B"/>
    <w:rsid w:val="005C7DD7"/>
    <w:rsid w:val="005D6DD6"/>
    <w:rsid w:val="005E4095"/>
    <w:rsid w:val="005E785C"/>
    <w:rsid w:val="005E7A9B"/>
    <w:rsid w:val="005F1DF6"/>
    <w:rsid w:val="00610610"/>
    <w:rsid w:val="00614FC1"/>
    <w:rsid w:val="00617223"/>
    <w:rsid w:val="0062175D"/>
    <w:rsid w:val="00623869"/>
    <w:rsid w:val="00636B3C"/>
    <w:rsid w:val="0064354D"/>
    <w:rsid w:val="00671489"/>
    <w:rsid w:val="00673330"/>
    <w:rsid w:val="00685B96"/>
    <w:rsid w:val="00690FBA"/>
    <w:rsid w:val="006936F3"/>
    <w:rsid w:val="006A0BFF"/>
    <w:rsid w:val="006B5D26"/>
    <w:rsid w:val="006C2CF8"/>
    <w:rsid w:val="006D492D"/>
    <w:rsid w:val="00700413"/>
    <w:rsid w:val="0071113F"/>
    <w:rsid w:val="00726D42"/>
    <w:rsid w:val="007527BE"/>
    <w:rsid w:val="00777469"/>
    <w:rsid w:val="00777BF1"/>
    <w:rsid w:val="007910E4"/>
    <w:rsid w:val="0079481E"/>
    <w:rsid w:val="007D1F4E"/>
    <w:rsid w:val="007E006A"/>
    <w:rsid w:val="008062DB"/>
    <w:rsid w:val="00826AC5"/>
    <w:rsid w:val="0083724F"/>
    <w:rsid w:val="00855CFF"/>
    <w:rsid w:val="008631B0"/>
    <w:rsid w:val="008705BD"/>
    <w:rsid w:val="00871E0A"/>
    <w:rsid w:val="00891071"/>
    <w:rsid w:val="008A1534"/>
    <w:rsid w:val="008A27D9"/>
    <w:rsid w:val="008B2BC5"/>
    <w:rsid w:val="008C3CA7"/>
    <w:rsid w:val="008D6DF6"/>
    <w:rsid w:val="008D7B47"/>
    <w:rsid w:val="008E1C35"/>
    <w:rsid w:val="008E52C1"/>
    <w:rsid w:val="008E6DB8"/>
    <w:rsid w:val="008F0E5D"/>
    <w:rsid w:val="008F53F8"/>
    <w:rsid w:val="00904FBD"/>
    <w:rsid w:val="00916878"/>
    <w:rsid w:val="00920BB6"/>
    <w:rsid w:val="009276F7"/>
    <w:rsid w:val="00932455"/>
    <w:rsid w:val="0095721F"/>
    <w:rsid w:val="009600A3"/>
    <w:rsid w:val="00962E89"/>
    <w:rsid w:val="00980C22"/>
    <w:rsid w:val="00991847"/>
    <w:rsid w:val="00995C94"/>
    <w:rsid w:val="009A7FAD"/>
    <w:rsid w:val="009C01B6"/>
    <w:rsid w:val="009C558C"/>
    <w:rsid w:val="009E17C8"/>
    <w:rsid w:val="009F0550"/>
    <w:rsid w:val="009F66BE"/>
    <w:rsid w:val="00A13B60"/>
    <w:rsid w:val="00A1401C"/>
    <w:rsid w:val="00A20445"/>
    <w:rsid w:val="00A20A54"/>
    <w:rsid w:val="00A243C3"/>
    <w:rsid w:val="00A36B70"/>
    <w:rsid w:val="00A44831"/>
    <w:rsid w:val="00A53343"/>
    <w:rsid w:val="00A6276C"/>
    <w:rsid w:val="00A635A9"/>
    <w:rsid w:val="00A666F3"/>
    <w:rsid w:val="00A70619"/>
    <w:rsid w:val="00A80F6D"/>
    <w:rsid w:val="00A85CC3"/>
    <w:rsid w:val="00A9255D"/>
    <w:rsid w:val="00A9689A"/>
    <w:rsid w:val="00AA77BA"/>
    <w:rsid w:val="00AB1100"/>
    <w:rsid w:val="00AC6C3A"/>
    <w:rsid w:val="00AD3524"/>
    <w:rsid w:val="00AE1024"/>
    <w:rsid w:val="00AE60EF"/>
    <w:rsid w:val="00AE6BD7"/>
    <w:rsid w:val="00B178A3"/>
    <w:rsid w:val="00B30924"/>
    <w:rsid w:val="00B328CD"/>
    <w:rsid w:val="00B4169B"/>
    <w:rsid w:val="00B8033D"/>
    <w:rsid w:val="00B9147E"/>
    <w:rsid w:val="00BB0987"/>
    <w:rsid w:val="00BF4BDE"/>
    <w:rsid w:val="00C037E3"/>
    <w:rsid w:val="00C4397B"/>
    <w:rsid w:val="00C512F9"/>
    <w:rsid w:val="00C56286"/>
    <w:rsid w:val="00C604E7"/>
    <w:rsid w:val="00C70F93"/>
    <w:rsid w:val="00C84B5E"/>
    <w:rsid w:val="00C97AF8"/>
    <w:rsid w:val="00CA3C30"/>
    <w:rsid w:val="00CB5B28"/>
    <w:rsid w:val="00CC62DB"/>
    <w:rsid w:val="00CD0E6D"/>
    <w:rsid w:val="00CD3E27"/>
    <w:rsid w:val="00CE5580"/>
    <w:rsid w:val="00CF77B0"/>
    <w:rsid w:val="00D21BB9"/>
    <w:rsid w:val="00D234BD"/>
    <w:rsid w:val="00D4706B"/>
    <w:rsid w:val="00D61493"/>
    <w:rsid w:val="00D70CBE"/>
    <w:rsid w:val="00D71155"/>
    <w:rsid w:val="00D756A7"/>
    <w:rsid w:val="00D809DC"/>
    <w:rsid w:val="00D87711"/>
    <w:rsid w:val="00DB1386"/>
    <w:rsid w:val="00DD0628"/>
    <w:rsid w:val="00DD3497"/>
    <w:rsid w:val="00DD57A2"/>
    <w:rsid w:val="00DE40F4"/>
    <w:rsid w:val="00DF48AE"/>
    <w:rsid w:val="00E01958"/>
    <w:rsid w:val="00E0248A"/>
    <w:rsid w:val="00E118FE"/>
    <w:rsid w:val="00E1404C"/>
    <w:rsid w:val="00E16882"/>
    <w:rsid w:val="00E20759"/>
    <w:rsid w:val="00E351E9"/>
    <w:rsid w:val="00E57565"/>
    <w:rsid w:val="00E6133D"/>
    <w:rsid w:val="00E63432"/>
    <w:rsid w:val="00EB51DF"/>
    <w:rsid w:val="00EC2936"/>
    <w:rsid w:val="00EC5F78"/>
    <w:rsid w:val="00ED7842"/>
    <w:rsid w:val="00EE6828"/>
    <w:rsid w:val="00EF06BC"/>
    <w:rsid w:val="00F22241"/>
    <w:rsid w:val="00F27AFF"/>
    <w:rsid w:val="00F62206"/>
    <w:rsid w:val="00F63C05"/>
    <w:rsid w:val="00F649EE"/>
    <w:rsid w:val="00F76F16"/>
    <w:rsid w:val="00F839A7"/>
    <w:rsid w:val="00F939F4"/>
    <w:rsid w:val="00FA1044"/>
    <w:rsid w:val="00FC60F9"/>
    <w:rsid w:val="00FE7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374C5FDB-18E1-6B49-B7C6-DA995CE09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1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0"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spacing w:after="0"/>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spacing w:after="0"/>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2799</TotalTime>
  <Pages>18</Pages>
  <Words>2677</Words>
  <Characters>15263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109</cp:revision>
  <cp:lastPrinted>2022-12-19T18:09:00Z</cp:lastPrinted>
  <dcterms:created xsi:type="dcterms:W3CDTF">2022-12-19T18:09:00Z</dcterms:created>
  <dcterms:modified xsi:type="dcterms:W3CDTF">2023-08-31T17:57:00Z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id="ay9TIm7E"/&gt;&lt;style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