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A6F12" w14:textId="51F5C46B" w:rsidR="00D40947" w:rsidRPr="00D40947" w:rsidRDefault="00D40947" w:rsidP="00D40947">
      <w:pPr>
        <w:rPr>
          <w:b/>
          <w:bCs/>
        </w:rPr>
      </w:pPr>
      <w:r>
        <w:rPr>
          <w:b/>
          <w:bCs/>
        </w:rPr>
        <w:t>Dengue virus</w:t>
      </w:r>
    </w:p>
    <w:p w14:paraId="5A462A5D" w14:textId="45C3AB54" w:rsidR="00D40947" w:rsidRPr="00D40947" w:rsidRDefault="00D40947" w:rsidP="00D40947">
      <w:r>
        <w:tab/>
      </w:r>
      <w:r w:rsidRPr="00D40947">
        <w:t xml:space="preserve">Dengue is a virus of the flaviviral family </w:t>
      </w:r>
      <w:r w:rsidR="00AC724B">
        <w:fldChar w:fldCharType="begin"/>
      </w:r>
      <w:r w:rsidR="00AC724B">
        <w:instrText xml:space="preserve"> ADDIN ZOTERO_ITEM CSL_CITATION {"citationID":"6lF4cZQr","properties":{"formattedCitation":"(1,2)","plainCitation":"(1,2)","noteIndex":0},"citationItems":[{"id":7186,"uris":["http://zotero.org/users/9551388/items/SEMIKBIG"],"itemData":{"id":7186,"type":"article-journal","abstract":"Abstract\n            \n              Viral glycoproteins drive membrane fusion in enveloped viruses and determine host range, tissue tropism and pathogenesis\n              1\n              . Despite their importance, there is a fragmentary understanding of glycoproteins within the\n              Flaviviridae\n              2\n              , a large virus family that include pathogens such as hepatitis C, dengue and Zika viruses, and numerous other human, animal and emergent viruses. For many flaviviruses the glycoproteins have not yet been identified, for others, such as the hepaciviruses, the molecular mechanisms of membrane fusion remain uncharacterized\n              3\n              . Here we combine phylogenetic analyses with protein structure prediction to survey glycoproteins across the entire\n              Flaviviridae\n              . We find class II fusion systems, homologous to the Orthoflavivirus E glycoprotein in most species, including highly divergent jingmenviruses and large genome flaviviruses. However, the E1E2 glycoproteins of the hepaciviruses, pegiviruses and pestiviruses are structurally distinct, may represent a novel class of fusion mechanism, and are strictly associated with infection of vertebrate hosts. By mapping glycoprotein distribution onto the underlying phylogeny, we reveal a complex evolutionary history marked by the capture of bacterial genes and potentially inter-genus recombination. These insights, made possible through protein structure prediction, refine our understanding of viral fusion mechanisms and reveal the events that have shaped the diverse virology and ecology of the\n              Flaviviridae\n              .","container-title":"Nature","DOI":"10.1038/s41586-024-07899-8","ISSN":"0028-0836, 1476-4687","journalAbbreviation":"Nature","language":"en","source":"DOI.org (Crossref)","title":"Mapping glycoprotein structure reveals Flaviviridae evolutionary history","URL":"https://www.nature.com/articles/s41586-024-07899-8","author":[{"family":"Mifsud","given":"Jonathon C. O."},{"family":"Lytras","given":"Spyros"},{"family":"Oliver","given":"Michael R."},{"family":"Toon","given":"Kamilla"},{"family":"Costa","given":"Vincenzo A."},{"family":"Holmes","given":"Edward C."},{"family":"Grove","given":"Joe"}],"accessed":{"date-parts":[["2024",9,4]]},"issued":{"date-parts":[["2024",9,4]]}}},{"id":1628,"uris":["http://zotero.org/users/9551388/items/NMEQVIS8"],"itemData":{"id":1628,"type":"article-journal","abstract":"Dengue is one of the most important emerging viruses, posing a threat to one-third of the global human population. Herein we show how the comparative analysis of gene sequence data has shed light on the origin and spread of dengue virus, as well as on the evolutionary processes that structure its genetic diversity. This reveals that dengue virus has a relatively recent evolutionary history, with the four serotypes originating approximately 1000 years ago and only establishing endemic transmission in humans in the last few hundred years. However, its place of origin remains uncertain as does the extent of genetic and phenotypic diversity present in the sylvatic (primate) transmission cycle. Although there is some evidence that viral strains differ in key phenotypic features such as virulence, and for positive selection at immunologically important sites, it seems likely that stochastic processes also play a major role in shaping viral genetic diversity, with lineage extinction a common occurrence. A more complete understanding of the evolution and epidemiology of dengue virus, particularly with respect to the aetiology of severe disease, will require large-scale prospective studies and the comparative analysis of complete genome sequences.","container-title":"Infection, Genetics and Evolution","DOI":"10.1016/S1567-1348(03)00004-2","ISSN":"15671348","issue":"1","journalAbbreviation":"Infection, Genetics and Evolution","language":"en","page":"19-28","source":"DOI.org (Crossref)","title":"The origin, emergence and evolutionary genetics of dengue virus","volume":"3","author":[{"family":"Holmes","given":"E"},{"family":"Twiddy","given":"S"}],"issued":{"date-parts":[["2003",5]]}}}],"schema":"https://github.com/citation-style-language/schema/raw/master/csl-citation.json"} </w:instrText>
      </w:r>
      <w:r w:rsidR="00AC724B">
        <w:fldChar w:fldCharType="separate"/>
      </w:r>
      <w:r w:rsidR="00AC724B">
        <w:rPr>
          <w:noProof/>
        </w:rPr>
        <w:t>(1,2)</w:t>
      </w:r>
      <w:r w:rsidR="00AC724B">
        <w:fldChar w:fldCharType="end"/>
      </w:r>
      <w:r w:rsidRPr="00D40947">
        <w:t>, sometimes referred to as arbovirus</w:t>
      </w:r>
      <w:r>
        <w:t>,</w:t>
      </w:r>
      <w:r w:rsidRPr="00D40947">
        <w:t xml:space="preserve"> </w:t>
      </w:r>
      <w:r>
        <w:t>which</w:t>
      </w:r>
      <w:r w:rsidRPr="00D40947">
        <w:t xml:space="preserve"> stands for arthropod</w:t>
      </w:r>
      <w:r>
        <w:t>-</w:t>
      </w:r>
      <w:r w:rsidRPr="00D40947">
        <w:t xml:space="preserve">borne transmitted virus. </w:t>
      </w:r>
      <w:r>
        <w:t>T</w:t>
      </w:r>
      <w:r w:rsidRPr="00D40947">
        <w:t xml:space="preserve">hese vectors are mosquitoes of the </w:t>
      </w:r>
      <w:r w:rsidRPr="00D40947">
        <w:rPr>
          <w:i/>
          <w:iCs/>
        </w:rPr>
        <w:t>Aedes</w:t>
      </w:r>
      <w:r w:rsidRPr="00D40947">
        <w:t xml:space="preserve"> genus and two species </w:t>
      </w:r>
      <w:r w:rsidRPr="00D40947">
        <w:rPr>
          <w:i/>
          <w:iCs/>
        </w:rPr>
        <w:t>A. aegypti</w:t>
      </w:r>
      <w:r w:rsidRPr="00D40947">
        <w:t xml:space="preserve"> and </w:t>
      </w:r>
      <w:r w:rsidRPr="00D40947">
        <w:rPr>
          <w:i/>
          <w:iCs/>
        </w:rPr>
        <w:t>A. albopictus</w:t>
      </w:r>
      <w:r w:rsidRPr="00D40947">
        <w:t xml:space="preserve"> are the ones responsible of transmission. </w:t>
      </w:r>
      <w:r>
        <w:t>B</w:t>
      </w:r>
      <w:r w:rsidRPr="00D40947">
        <w:t xml:space="preserve">oth species have a specialized ecological niche, </w:t>
      </w:r>
      <w:r w:rsidRPr="00D40947">
        <w:rPr>
          <w:i/>
          <w:iCs/>
        </w:rPr>
        <w:t>aegypti</w:t>
      </w:r>
      <w:r w:rsidRPr="00D40947">
        <w:t xml:space="preserve"> is responsible for urban transmission and likely specialize</w:t>
      </w:r>
      <w:r>
        <w:t>s</w:t>
      </w:r>
      <w:r w:rsidRPr="00D40947">
        <w:t xml:space="preserve"> in feeding on human blood and breeding in human</w:t>
      </w:r>
      <w:r>
        <w:t>-</w:t>
      </w:r>
      <w:r w:rsidRPr="00D40947">
        <w:t xml:space="preserve">made water bodies </w:t>
      </w:r>
      <w:r w:rsidR="00DC4346">
        <w:t>approximately 5000 years ago</w:t>
      </w:r>
      <w:r w:rsidRPr="00D40947">
        <w:t xml:space="preserve"> in Africa</w:t>
      </w:r>
      <w:r w:rsidR="00AA3BCA">
        <w:t>,</w:t>
      </w:r>
      <w:r w:rsidRPr="00D40947">
        <w:t xml:space="preserve"> and </w:t>
      </w:r>
      <w:r w:rsidRPr="00D40947">
        <w:rPr>
          <w:i/>
          <w:iCs/>
        </w:rPr>
        <w:t>albopictus</w:t>
      </w:r>
      <w:r w:rsidRPr="00D40947">
        <w:t xml:space="preserve"> feeds mainly on animals (including humans)</w:t>
      </w:r>
      <w:r w:rsidR="00AA3BCA">
        <w:t>,</w:t>
      </w:r>
      <w:r w:rsidRPr="00D40947">
        <w:t xml:space="preserve"> and breed</w:t>
      </w:r>
      <w:r>
        <w:t>s</w:t>
      </w:r>
      <w:r w:rsidRPr="00D40947">
        <w:t xml:space="preserve"> on natural water bodies thus is more commonly found in the sylvatic transmission cycle </w:t>
      </w:r>
      <w:r w:rsidR="00F90609">
        <w:fldChar w:fldCharType="begin"/>
      </w:r>
      <w:r w:rsidR="00F90609">
        <w:instrText xml:space="preserve"> ADDIN ZOTERO_ITEM CSL_CITATION {"citationID":"ibOn334X","properties":{"formattedCitation":"(3)","plainCitation":"(3)","noteIndex":0},"citationItems":[{"id":6774,"uris":["http://zotero.org/groups/5576135/items/WMYLS64H"],"itemData":{"id":6774,"type":"article-journal","abstract":"The globally invasive mosquito subspecies Aedes aegypti aegypti is an effective vector of human arboviruses, in part because it specializes in biting humans and breeding in human habitats. Recent work suggests that specialization first arose as an adaptation to long, hot dry seasons in the West African Sahel, where Ae. aegypti relies on human-­stored water for breeding. Here, we use whole-­genome cross-­coalescent analysis to date the emergence of human-­specialist populationsand thus further probe the climate hypothesis. Importantly, we take advantage of the known migration of specialists out of Africa during the Atlantic Slave Trade to calibrate the coalescent clock and thus obtain a more precise estimate of the older evolutionary event than would otherwise be possible. We find that human-s­ pecialist mosquitoes diverged rapidly from ecological generalists approximately 5000 years ago, at the end of the African Humid Period—a time when the Sahara dried and water stored by humans became a uniquely stable, aquatic niche in the Sahel. We also use population genomic analyses to date a previously observed influx of human-­specialist alleles into major West African cities. The characteristic length of tracts of human-s­ pecialist ancestry present on a generalist genetic background in Kumasi and Ouagadougou suggests the change in behavior occurred during rapid urbanization over the last 20–40 years. Taken together, we show that the timing and ecological context of two previously observed shifts towards human biting in Ae. aegypti differ; climate was likely the original driver, but urbanization has become increasingly important in recent decades.","container-title":"eLife","DOI":"10.7554/eLife.83524","ISSN":"2050-084X","language":"en","page":"e83524","source":"DOI.org (Crossref)","title":"Dating the origin and spread of specialization on human hosts in Aedes aegypti mosquitoes","volume":"12","author":[{"family":"Rose","given":"Noah H"},{"family":"Badolo","given":"Athanase"},{"family":"Sylla","given":"Massamba"},{"family":"Akorli","given":"Jewelna"},{"family":"Otoo","given":"Sampson"},{"family":"Gloria-Soria","given":"Andrea"},{"family":"Powell","given":"Jeffrey R"},{"family":"White","given":"Bradley J"},{"family":"Crawford","given":"Jacob E"},{"family":"McBride","given":"Carolyn S"}],"issued":{"date-parts":[["2023",3,10]]}}}],"schema":"https://github.com/citation-style-language/schema/raw/master/csl-citation.json"} </w:instrText>
      </w:r>
      <w:r w:rsidR="00F90609">
        <w:fldChar w:fldCharType="separate"/>
      </w:r>
      <w:r w:rsidR="00F90609">
        <w:rPr>
          <w:noProof/>
        </w:rPr>
        <w:t>(3)</w:t>
      </w:r>
      <w:r w:rsidR="00F90609">
        <w:fldChar w:fldCharType="end"/>
      </w:r>
      <w:r w:rsidRPr="00D40947">
        <w:t>.</w:t>
      </w:r>
    </w:p>
    <w:p w14:paraId="3F637F16" w14:textId="6DC11A39" w:rsidR="00FC1138" w:rsidRDefault="00D40947" w:rsidP="00D40947">
      <w:r>
        <w:tab/>
      </w:r>
      <w:r w:rsidRPr="00D40947">
        <w:t>These 4 viruses cause mild or no symptoms on the first infection but on the secondary infection disease is severe by a mechanism named Antibody Dependent Enha</w:t>
      </w:r>
      <w:r w:rsidR="00721559">
        <w:t>n</w:t>
      </w:r>
      <w:r w:rsidRPr="00D40947">
        <w:t>cement (ADE</w:t>
      </w:r>
      <w:r w:rsidR="00246B22">
        <w:t xml:space="preserve">) </w:t>
      </w:r>
      <w:r w:rsidR="00246B22">
        <w:fldChar w:fldCharType="begin"/>
      </w:r>
      <w:r w:rsidR="00246B22">
        <w:instrText xml:space="preserve"> ADDIN ZOTERO_ITEM CSL_CITATION {"citationID":"gYq3HgtH","properties":{"formattedCitation":"(4)","plainCitation":"(4)","noteIndex":0},"citationItems":[{"id":3052,"uris":["http://zotero.org/users/9551388/items/STPPKTEP"],"itemData":{"id":3052,"type":"article-journal","abstract":"Too much or too little—better than some\n            \n              Dengue fever is caused by a mosquito-transmitted flavivirus resembling Zika virus. Both viruses can cause severe diseases in humans with catastrophic sequelae. It has been suspected in humans, and shown in animal models, that the host's immune responses can make disease worse. Katzelnick\n              et al.\n              examined data from a long-term study of Nicaraguan children exposed to dengue virus (see the Perspective by Feinberg and Ahmed). They confirmed that antibody-dependent enhancement of disease occurs at a specific range of antibody concentrations. Low levels of antibody did not enhance disease, intermediate levels exacerbated disease, and high antibody titers protected against severe disease. These findings have major implications for vaccines against flaviviruses. Indeed, recent vaccine trials have shown evidence of severe disease in some recipients who were previously exposed to virus.\n            \n            \n              Science\n              , this issue p.\n              929\n              ; see also p.\n              865\n            \n          , \n            A long-term Nicaraguan pediatric cohort reveals that a narrow range of preexisting antibody titers increases the risk of severe dengue disease.\n          , \n            For dengue viruses 1 to 4 (DENV1-4), a specific range of antibody titer has been shown to enhance viral replication in vitro and severe disease in animal models. Although suspected, such antibody-dependent enhancement of severe disease has not been shown to occur in humans. Using multiple statistical approaches to study a long-term pediatric cohort in Nicaragua, we show that risk of severe dengue disease is highest within a narrow range of preexisting anti-DENV antibody titers. By contrast, we observe protection from all symptomatic dengue disease at high antibody titers. Thus, immune correlates of severe dengue must be evaluated separately from correlates of protection against symptomatic disease. These results have implications for studies of dengue pathogenesis and for vaccine development, because enhancement, not just lack of protection, is of concern.","container-title":"Science","DOI":"10.1126/science.aan6836","ISSN":"0036-8075, 1095-9203","issue":"6365","journalAbbreviation":"Science","language":"en","page":"929-932","source":"DOI.org (Crossref)","title":"Antibody-dependent enhancement of severe dengue disease in humans","volume":"358","author":[{"family":"Katzelnick","given":"Leah C."},{"family":"Gresh","given":"Lionel"},{"family":"Halloran","given":"M. Elizabeth"},{"family":"Mercado","given":"Juan Carlos"},{"family":"Kuan","given":"Guillermina"},{"family":"Gordon","given":"Aubree"},{"family":"Balmaseda","given":"Angel"},{"family":"Harris","given":"Eva"}],"issued":{"date-parts":[["2017",11,17]]}}}],"schema":"https://github.com/citation-style-language/schema/raw/master/csl-citation.json"} </w:instrText>
      </w:r>
      <w:r w:rsidR="00246B22">
        <w:fldChar w:fldCharType="separate"/>
      </w:r>
      <w:r w:rsidR="00246B22">
        <w:rPr>
          <w:noProof/>
        </w:rPr>
        <w:t>(4)</w:t>
      </w:r>
      <w:r w:rsidR="00246B22">
        <w:fldChar w:fldCharType="end"/>
      </w:r>
      <w:r w:rsidRPr="00D40947">
        <w:t>. The severity of disease on the secondary infection depends on the amount of DENV antibodies built on the first infection and with a narrow range of DENVab resulting in severe disease</w:t>
      </w:r>
      <w:r w:rsidR="00246B22">
        <w:t xml:space="preserve"> </w:t>
      </w:r>
      <w:r w:rsidR="00246B22">
        <w:fldChar w:fldCharType="begin"/>
      </w:r>
      <w:r w:rsidR="00246B22">
        <w:instrText xml:space="preserve"> ADDIN ZOTERO_ITEM CSL_CITATION {"citationID":"JTEWSOH6","properties":{"formattedCitation":"(4)","plainCitation":"(4)","noteIndex":0},"citationItems":[{"id":3052,"uris":["http://zotero.org/users/9551388/items/STPPKTEP"],"itemData":{"id":3052,"type":"article-journal","abstract":"Too much or too little—better than some\n            \n              Dengue fever is caused by a mosquito-transmitted flavivirus resembling Zika virus. Both viruses can cause severe diseases in humans with catastrophic sequelae. It has been suspected in humans, and shown in animal models, that the host's immune responses can make disease worse. Katzelnick\n              et al.\n              examined data from a long-term study of Nicaraguan children exposed to dengue virus (see the Perspective by Feinberg and Ahmed). They confirmed that antibody-dependent enhancement of disease occurs at a specific range of antibody concentrations. Low levels of antibody did not enhance disease, intermediate levels exacerbated disease, and high antibody titers protected against severe disease. These findings have major implications for vaccines against flaviviruses. Indeed, recent vaccine trials have shown evidence of severe disease in some recipients who were previously exposed to virus.\n            \n            \n              Science\n              , this issue p.\n              929\n              ; see also p.\n              865\n            \n          , \n            A long-term Nicaraguan pediatric cohort reveals that a narrow range of preexisting antibody titers increases the risk of severe dengue disease.\n          , \n            For dengue viruses 1 to 4 (DENV1-4), a specific range of antibody titer has been shown to enhance viral replication in vitro and severe disease in animal models. Although suspected, such antibody-dependent enhancement of severe disease has not been shown to occur in humans. Using multiple statistical approaches to study a long-term pediatric cohort in Nicaragua, we show that risk of severe dengue disease is highest within a narrow range of preexisting anti-DENV antibody titers. By contrast, we observe protection from all symptomatic dengue disease at high antibody titers. Thus, immune correlates of severe dengue must be evaluated separately from correlates of protection against symptomatic disease. These results have implications for studies of dengue pathogenesis and for vaccine development, because enhancement, not just lack of protection, is of concern.","container-title":"Science","DOI":"10.1126/science.aan6836","ISSN":"0036-8075, 1095-9203","issue":"6365","journalAbbreviation":"Science","language":"en","page":"929-932","source":"DOI.org (Crossref)","title":"Antibody-dependent enhancement of severe dengue disease in humans","volume":"358","author":[{"family":"Katzelnick","given":"Leah C."},{"family":"Gresh","given":"Lionel"},{"family":"Halloran","given":"M. Elizabeth"},{"family":"Mercado","given":"Juan Carlos"},{"family":"Kuan","given":"Guillermina"},{"family":"Gordon","given":"Aubree"},{"family":"Balmaseda","given":"Angel"},{"family":"Harris","given":"Eva"}],"issued":{"date-parts":[["2017",11,17]]}}}],"schema":"https://github.com/citation-style-language/schema/raw/master/csl-citation.json"} </w:instrText>
      </w:r>
      <w:r w:rsidR="00246B22">
        <w:fldChar w:fldCharType="separate"/>
      </w:r>
      <w:r w:rsidR="00246B22">
        <w:rPr>
          <w:noProof/>
        </w:rPr>
        <w:t>(4)</w:t>
      </w:r>
      <w:r w:rsidR="00246B22">
        <w:fldChar w:fldCharType="end"/>
      </w:r>
      <w:r w:rsidRPr="00D40947">
        <w:t>. However, secondary infections with viruses of the same serotype as the one of the first infection are impossible, and this is named homotypic (same serotype) lifelong cross-protection. The heterotypic secondary infections</w:t>
      </w:r>
      <w:r w:rsidR="00DE3247">
        <w:t xml:space="preserve"> (</w:t>
      </w:r>
      <w:r w:rsidR="00211957">
        <w:t xml:space="preserve">with a </w:t>
      </w:r>
      <w:r w:rsidR="00DE3247">
        <w:t xml:space="preserve">different serotype </w:t>
      </w:r>
      <w:r w:rsidR="00211957">
        <w:t>from</w:t>
      </w:r>
      <w:r w:rsidR="00DE3247">
        <w:t xml:space="preserve"> the one </w:t>
      </w:r>
      <w:r w:rsidR="00211957">
        <w:t>of</w:t>
      </w:r>
      <w:r w:rsidR="00DE3247">
        <w:t xml:space="preserve"> the first infection) are the ones that result in disease.</w:t>
      </w:r>
    </w:p>
    <w:p w14:paraId="526C6DE7" w14:textId="1AC70E3A" w:rsidR="00FC1138" w:rsidRDefault="00CB461B" w:rsidP="00D40947">
      <w:r>
        <w:tab/>
      </w:r>
      <w:r w:rsidR="00FC1138">
        <w:t xml:space="preserve">The antigenic map (Figure 1) </w:t>
      </w:r>
      <w:r w:rsidR="00D72A25">
        <w:t xml:space="preserve">is a </w:t>
      </w:r>
      <w:r w:rsidR="00211957">
        <w:t xml:space="preserve">2D </w:t>
      </w:r>
      <w:r w:rsidR="00D72A25">
        <w:t>visualization of</w:t>
      </w:r>
      <w:r w:rsidR="00FC1138">
        <w:t xml:space="preserve"> a</w:t>
      </w:r>
      <w:r w:rsidR="00D72A25">
        <w:t>n</w:t>
      </w:r>
      <w:r w:rsidR="00FC1138">
        <w:t xml:space="preserve"> assay t</w:t>
      </w:r>
      <w:r w:rsidR="00211957">
        <w:t>hat</w:t>
      </w:r>
      <w:r w:rsidR="00FC1138">
        <w:t xml:space="preserve"> quantif</w:t>
      </w:r>
      <w:r w:rsidR="00211957">
        <w:t>ies</w:t>
      </w:r>
      <w:r w:rsidR="00FC1138">
        <w:t xml:space="preserve"> how much protection </w:t>
      </w:r>
      <w:r w:rsidR="00211957">
        <w:t xml:space="preserve">a </w:t>
      </w:r>
      <w:r w:rsidR="009D204B">
        <w:t>fist</w:t>
      </w:r>
      <w:r w:rsidR="00211957">
        <w:t xml:space="preserve"> infection confers </w:t>
      </w:r>
      <w:r w:rsidR="00AA3BCA">
        <w:t xml:space="preserve">on a </w:t>
      </w:r>
      <w:r w:rsidR="009D204B">
        <w:t>secondary-</w:t>
      </w:r>
      <w:r w:rsidR="00AA3BCA">
        <w:t>infecting virus. The position in the map is a phenotype for that respective strain, an antigenic phenotype. In the homework</w:t>
      </w:r>
      <w:r w:rsidR="001131F8">
        <w:t>,</w:t>
      </w:r>
      <w:r w:rsidR="00AA3BCA">
        <w:t xml:space="preserve"> we want to ask if genetic data have information about </w:t>
      </w:r>
      <w:r w:rsidR="001131F8">
        <w:t>this phenotype. Because the genotype to phenotype problem (sequence to position in the map, Figure 1) is extremely hard, we will rather ask a slightly different question: does the genetic difference explain the difference in this antigenic phenotype?</w:t>
      </w:r>
    </w:p>
    <w:p w14:paraId="4F4A8C8B" w14:textId="1F7C84CA" w:rsidR="00CB461B" w:rsidRDefault="00CB461B" w:rsidP="00D40947">
      <w:r>
        <w:t xml:space="preserve">In the first part of the homework (point 2), I want to use a distance between a pair of sequences to predict the distance in the antigenic map. </w:t>
      </w:r>
      <w:r w:rsidR="00192481">
        <w:t>As an</w:t>
      </w:r>
      <w:r>
        <w:t xml:space="preserve"> example</w:t>
      </w:r>
      <w:r w:rsidR="00AA5E17">
        <w:t>,</w:t>
      </w:r>
      <w:r>
        <w:t xml:space="preserve"> in Figure 1</w:t>
      </w:r>
      <w:r w:rsidR="00024ED9">
        <w:t>,</w:t>
      </w:r>
      <w:r>
        <w:t xml:space="preserve"> I draw a black dashed line to show the distance between those two pair</w:t>
      </w:r>
      <w:r w:rsidR="00AA5E17">
        <w:t>s</w:t>
      </w:r>
      <w:r>
        <w:t xml:space="preserve"> of strains.</w:t>
      </w:r>
      <w:r w:rsidR="00192481">
        <w:t xml:space="preserve"> The distance between a pair of strains I want you to use as a</w:t>
      </w:r>
      <w:r w:rsidR="00B77358">
        <w:t>n</w:t>
      </w:r>
      <w:r w:rsidR="00192481">
        <w:t xml:space="preserve"> explanatory variable is the Percentage Identity Matrix (PID). The PID measures the nucleotide divergence between two sequences: how many bases </w:t>
      </w:r>
      <w:r w:rsidR="009B544D">
        <w:t>the sequences have in common divided by the sequence length</w:t>
      </w:r>
      <w:r w:rsidR="00721559">
        <w:t>.</w:t>
      </w:r>
    </w:p>
    <w:p w14:paraId="522178D3" w14:textId="689654F8" w:rsidR="000E42BF" w:rsidRDefault="000E42BF" w:rsidP="00D40947">
      <w:r>
        <w:t xml:space="preserve">Intragenotypic variability </w:t>
      </w:r>
      <w:r w:rsidR="00553180">
        <w:t xml:space="preserve">(see point 3 in the homework) </w:t>
      </w:r>
      <w:r>
        <w:t>exists</w:t>
      </w:r>
      <w:r w:rsidR="002A0695">
        <w:t>,</w:t>
      </w:r>
      <w:r>
        <w:t xml:space="preserve"> and thus</w:t>
      </w:r>
      <w:r w:rsidR="00553180">
        <w:t>,</w:t>
      </w:r>
      <w:r>
        <w:t xml:space="preserve"> in the second part, I want you to </w:t>
      </w:r>
      <w:r>
        <w:rPr>
          <w:i/>
          <w:iCs/>
        </w:rPr>
        <w:t>control</w:t>
      </w:r>
      <w:r>
        <w:t xml:space="preserve"> for some of this variability using </w:t>
      </w:r>
      <w:r w:rsidR="00553180">
        <w:t xml:space="preserve">as </w:t>
      </w:r>
      <w:r>
        <w:t xml:space="preserve">a second predictor </w:t>
      </w:r>
      <w:r w:rsidR="00553180">
        <w:t xml:space="preserve">the distance of each strain to the center of its respective phenotype. </w:t>
      </w:r>
      <w:r w:rsidR="00BA61B2">
        <w:t>For the third part, I built a tree, and I want you to use the time to a most recent common ancestor (TMRCA) between a pair of strains as the additional descriptor for the 3rd linear model.</w:t>
      </w:r>
    </w:p>
    <w:p w14:paraId="575024F8" w14:textId="77777777" w:rsidR="00382EBA" w:rsidRDefault="00382EBA" w:rsidP="00D40947"/>
    <w:p w14:paraId="7FBDC16E" w14:textId="157A1C1D" w:rsidR="00382EBA" w:rsidRDefault="00382EBA" w:rsidP="00D40947">
      <w:r>
        <w:lastRenderedPageBreak/>
        <w:t>The linear models and its equations are shown below.</w:t>
      </w:r>
    </w:p>
    <w:p w14:paraId="402EC34A" w14:textId="583C8EFB" w:rsidR="00382EBA" w:rsidRPr="000E42BF" w:rsidRDefault="00CC1184" w:rsidP="00D40947">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(1-PID(i,j))                                                                           </m:t>
          </m:r>
          <m:r>
            <m:rPr>
              <m:sty m:val="p"/>
            </m:rPr>
            <w:rPr>
              <w:rFonts w:ascii="Cambria Math" w:hAnsi="Cambria Math"/>
            </w:rPr>
            <m:t>Model 1</m:t>
          </m:r>
          <m:r>
            <w:rPr>
              <w:rFonts w:ascii="Cambria Math" w:hAnsi="Cambria Math"/>
            </w:rPr>
            <m:t xml:space="preserve">         </m:t>
          </m:r>
        </m:oMath>
      </m:oMathPara>
    </w:p>
    <w:p w14:paraId="1DFBE76A" w14:textId="3FC93021" w:rsidR="00CC1184" w:rsidRPr="000E42BF" w:rsidRDefault="00CC1184" w:rsidP="00CC1184">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(1-PID(i,j)) </m:t>
          </m:r>
          <m:sSub>
            <m:sSubPr>
              <m:ctrlPr>
                <w:rPr>
                  <w:rFonts w:ascii="Cambria Math" w:hAnsi="Cambria Math"/>
                  <w:i/>
                </w:rPr>
              </m:ctrlPr>
            </m:sSubPr>
            <m:e>
              <m:r>
                <w:rPr>
                  <w:rFonts w:ascii="Cambria Math" w:hAnsi="Cambria Math"/>
                </w:rPr>
                <m:t>+ β</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m:t>
              </m:r>
            </m:sub>
            <m:sup>
              <m:sSub>
                <m:sSubPr>
                  <m:ctrlPr>
                    <w:rPr>
                      <w:rFonts w:ascii="Cambria Math" w:hAnsi="Cambria Math"/>
                      <w:i/>
                    </w:rPr>
                  </m:ctrlPr>
                </m:sSubPr>
                <m:e>
                  <m:r>
                    <w:rPr>
                      <w:rFonts w:ascii="Cambria Math" w:hAnsi="Cambria Math"/>
                    </w:rPr>
                    <m:t>s</m:t>
                  </m:r>
                </m:e>
                <m:sub>
                  <m:r>
                    <w:rPr>
                      <w:rFonts w:ascii="Cambria Math" w:hAnsi="Cambria Math"/>
                    </w:rPr>
                    <m:t>i</m:t>
                  </m:r>
                </m:sub>
              </m:sSub>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j</m:t>
              </m:r>
            </m:sub>
            <m:sup>
              <m:sSub>
                <m:sSubPr>
                  <m:ctrlPr>
                    <w:rPr>
                      <w:rFonts w:ascii="Cambria Math" w:hAnsi="Cambria Math"/>
                      <w:i/>
                    </w:rPr>
                  </m:ctrlPr>
                </m:sSubPr>
                <m:e>
                  <m:r>
                    <w:rPr>
                      <w:rFonts w:ascii="Cambria Math" w:hAnsi="Cambria Math"/>
                    </w:rPr>
                    <m:t>s</m:t>
                  </m:r>
                </m:e>
                <m:sub>
                  <m:r>
                    <w:rPr>
                      <w:rFonts w:ascii="Cambria Math" w:hAnsi="Cambria Math"/>
                    </w:rPr>
                    <m:t>j</m:t>
                  </m:r>
                </m:sub>
              </m:sSub>
            </m:sup>
          </m:sSubSup>
          <m:r>
            <w:rPr>
              <w:rFonts w:ascii="Cambria Math" w:hAnsi="Cambria Math"/>
            </w:rPr>
            <m:t xml:space="preserve">|.                  </m:t>
          </m:r>
          <m:r>
            <m:rPr>
              <m:sty m:val="p"/>
            </m:rPr>
            <w:rPr>
              <w:rFonts w:ascii="Cambria Math" w:hAnsi="Cambria Math"/>
              <w:color w:val="FFFFFF" w:themeColor="background1"/>
            </w:rPr>
            <m:t>Model</m:t>
          </m:r>
          <m:r>
            <w:rPr>
              <w:rFonts w:ascii="Cambria Math" w:hAnsi="Cambria Math"/>
            </w:rPr>
            <m:t xml:space="preserve">   </m:t>
          </m:r>
          <m:r>
            <m:rPr>
              <m:sty m:val="p"/>
            </m:rPr>
            <w:rPr>
              <w:rFonts w:ascii="Cambria Math" w:hAnsi="Cambria Math"/>
            </w:rPr>
            <m:t xml:space="preserve"> </m:t>
          </m:r>
          <m:r>
            <w:rPr>
              <w:rFonts w:ascii="Cambria Math" w:hAnsi="Cambria Math"/>
            </w:rPr>
            <m:t xml:space="preserve">         </m:t>
          </m:r>
          <m:r>
            <m:rPr>
              <m:sty m:val="p"/>
            </m:rPr>
            <w:rPr>
              <w:rFonts w:ascii="Cambria Math" w:hAnsi="Cambria Math"/>
            </w:rPr>
            <m:t>Model 2</m:t>
          </m:r>
          <m:r>
            <w:rPr>
              <w:rFonts w:ascii="Cambria Math" w:hAnsi="Cambria Math"/>
            </w:rPr>
            <m:t xml:space="preserve">            </m:t>
          </m:r>
        </m:oMath>
      </m:oMathPara>
    </w:p>
    <w:p w14:paraId="63E98900" w14:textId="77829C20" w:rsidR="00CC1184" w:rsidRPr="000E42BF" w:rsidRDefault="00CC1184" w:rsidP="00CC1184">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(1-PID(i,j))</m:t>
          </m:r>
          <m:sSub>
            <m:sSubPr>
              <m:ctrlPr>
                <w:rPr>
                  <w:rFonts w:ascii="Cambria Math" w:hAnsi="Cambria Math"/>
                  <w:i/>
                </w:rPr>
              </m:ctrlPr>
            </m:sSubPr>
            <m:e>
              <m:r>
                <w:rPr>
                  <w:rFonts w:ascii="Cambria Math" w:hAnsi="Cambria Math"/>
                </w:rPr>
                <m:t>+ β</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m:t>
              </m:r>
            </m:sub>
            <m:sup>
              <m:sSub>
                <m:sSubPr>
                  <m:ctrlPr>
                    <w:rPr>
                      <w:rFonts w:ascii="Cambria Math" w:hAnsi="Cambria Math"/>
                      <w:i/>
                    </w:rPr>
                  </m:ctrlPr>
                </m:sSubPr>
                <m:e>
                  <m:r>
                    <w:rPr>
                      <w:rFonts w:ascii="Cambria Math" w:hAnsi="Cambria Math"/>
                    </w:rPr>
                    <m:t>s</m:t>
                  </m:r>
                </m:e>
                <m:sub>
                  <m:r>
                    <w:rPr>
                      <w:rFonts w:ascii="Cambria Math" w:hAnsi="Cambria Math"/>
                    </w:rPr>
                    <m:t>i</m:t>
                  </m:r>
                </m:sub>
              </m:sSub>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j</m:t>
              </m:r>
            </m:sub>
            <m:sup>
              <m:sSub>
                <m:sSubPr>
                  <m:ctrlPr>
                    <w:rPr>
                      <w:rFonts w:ascii="Cambria Math" w:hAnsi="Cambria Math"/>
                      <w:i/>
                    </w:rPr>
                  </m:ctrlPr>
                </m:sSubPr>
                <m:e>
                  <m:r>
                    <w:rPr>
                      <w:rFonts w:ascii="Cambria Math" w:hAnsi="Cambria Math"/>
                    </w:rPr>
                    <m:t>s</m:t>
                  </m:r>
                </m:e>
                <m:sub>
                  <m:r>
                    <w:rPr>
                      <w:rFonts w:ascii="Cambria Math" w:hAnsi="Cambria Math"/>
                    </w:rPr>
                    <m:t>j</m:t>
                  </m:r>
                </m:sub>
              </m:sSub>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r>
            <m:rPr>
              <m:sty m:val="p"/>
            </m:rPr>
            <w:rPr>
              <w:rFonts w:ascii="Cambria Math" w:hAnsi="Cambria Math"/>
            </w:rPr>
            <m:t>TMRCA</m:t>
          </m:r>
          <m:r>
            <w:rPr>
              <w:rFonts w:ascii="Cambria Math" w:hAnsi="Cambria Math"/>
            </w:rPr>
            <m:t xml:space="preserve">(i,j).   </m:t>
          </m:r>
          <m:r>
            <m:rPr>
              <m:sty m:val="p"/>
            </m:rPr>
            <w:rPr>
              <w:rFonts w:ascii="Cambria Math" w:hAnsi="Cambria Math"/>
            </w:rPr>
            <m:t>Model3</m:t>
          </m:r>
          <m:r>
            <w:rPr>
              <w:rFonts w:ascii="Cambria Math" w:hAnsi="Cambria Math"/>
            </w:rPr>
            <m:t xml:space="preserve">         </m:t>
          </m:r>
        </m:oMath>
      </m:oMathPara>
    </w:p>
    <w:p w14:paraId="447FA348" w14:textId="77777777" w:rsidR="001131F8" w:rsidRDefault="001131F8" w:rsidP="00D40947"/>
    <w:p w14:paraId="1BFF95B7" w14:textId="42DA6D4A" w:rsidR="000E42BF" w:rsidRDefault="003F63F0" w:rsidP="000E42BF">
      <w:pPr>
        <w:keepNext/>
      </w:pPr>
      <w:r>
        <w:rPr>
          <w:noProof/>
        </w:rPr>
        <w:drawing>
          <wp:inline distT="0" distB="0" distL="0" distR="0" wp14:anchorId="509F93C3" wp14:editId="2BAB6CD8">
            <wp:extent cx="5727700" cy="6083300"/>
            <wp:effectExtent l="0" t="0" r="0" b="0"/>
            <wp:docPr id="1885368655" name="Picture 5"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68655" name="Picture 5" descr="A graph of different colored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6083300"/>
                    </a:xfrm>
                    <a:prstGeom prst="rect">
                      <a:avLst/>
                    </a:prstGeom>
                  </pic:spPr>
                </pic:pic>
              </a:graphicData>
            </a:graphic>
          </wp:inline>
        </w:drawing>
      </w:r>
    </w:p>
    <w:p w14:paraId="108625C6" w14:textId="2DDE5636" w:rsidR="001131F8" w:rsidRDefault="000E42BF" w:rsidP="000E42BF">
      <w:pPr>
        <w:pStyle w:val="Caption"/>
        <w:rPr>
          <w:i w:val="0"/>
          <w:iCs w:val="0"/>
        </w:rPr>
      </w:pPr>
      <w:r>
        <w:t xml:space="preserve">Figure </w:t>
      </w:r>
      <w:r>
        <w:fldChar w:fldCharType="begin"/>
      </w:r>
      <w:r>
        <w:instrText xml:space="preserve"> SEQ Figure \* ARABIC </w:instrText>
      </w:r>
      <w:r>
        <w:fldChar w:fldCharType="separate"/>
      </w:r>
      <w:r w:rsidR="002A0695">
        <w:rPr>
          <w:noProof/>
        </w:rPr>
        <w:t>1</w:t>
      </w:r>
      <w:r>
        <w:fldChar w:fldCharType="end"/>
      </w:r>
      <w:r>
        <w:t xml:space="preserve">. </w:t>
      </w:r>
      <w:r>
        <w:rPr>
          <w:b/>
          <w:bCs/>
        </w:rPr>
        <w:t xml:space="preserve">Antigenic phenotype. </w:t>
      </w:r>
      <w:r>
        <w:rPr>
          <w:i w:val="0"/>
          <w:iCs w:val="0"/>
        </w:rPr>
        <w:t>Each dot represent</w:t>
      </w:r>
      <w:r w:rsidR="00BD7CD8">
        <w:rPr>
          <w:i w:val="0"/>
          <w:iCs w:val="0"/>
        </w:rPr>
        <w:t>s</w:t>
      </w:r>
      <w:r>
        <w:rPr>
          <w:i w:val="0"/>
          <w:iCs w:val="0"/>
        </w:rPr>
        <w:t xml:space="preserve"> a virus/strain</w:t>
      </w:r>
      <w:r w:rsidR="00BD7CD8">
        <w:rPr>
          <w:i w:val="0"/>
          <w:iCs w:val="0"/>
        </w:rPr>
        <w:t>;</w:t>
      </w:r>
      <w:r>
        <w:rPr>
          <w:i w:val="0"/>
          <w:iCs w:val="0"/>
        </w:rPr>
        <w:t xml:space="preserve"> DENV serotypes are color</w:t>
      </w:r>
      <w:r w:rsidR="00BD7CD8">
        <w:rPr>
          <w:i w:val="0"/>
          <w:iCs w:val="0"/>
        </w:rPr>
        <w:t>-</w:t>
      </w:r>
      <w:r>
        <w:rPr>
          <w:i w:val="0"/>
          <w:iCs w:val="0"/>
        </w:rPr>
        <w:t>coded as indicated in the legend. Two strains from serotype 4 (purple) and sero</w:t>
      </w:r>
      <w:r w:rsidR="00BD7CD8">
        <w:rPr>
          <w:i w:val="0"/>
          <w:iCs w:val="0"/>
        </w:rPr>
        <w:t>t</w:t>
      </w:r>
      <w:r>
        <w:rPr>
          <w:i w:val="0"/>
          <w:iCs w:val="0"/>
        </w:rPr>
        <w:t>ype 1 (red) are highlighted</w:t>
      </w:r>
      <w:r w:rsidR="00BD7CD8">
        <w:rPr>
          <w:i w:val="0"/>
          <w:iCs w:val="0"/>
        </w:rPr>
        <w:t>,</w:t>
      </w:r>
      <w:r>
        <w:rPr>
          <w:i w:val="0"/>
          <w:iCs w:val="0"/>
        </w:rPr>
        <w:t xml:space="preserve"> as well as the antigenic distance between that pair of strains.</w:t>
      </w:r>
    </w:p>
    <w:p w14:paraId="63A750F8" w14:textId="77777777" w:rsidR="002A0695" w:rsidRDefault="002A0695" w:rsidP="002A0695">
      <w:pPr>
        <w:keepNext/>
      </w:pPr>
      <w:r>
        <w:rPr>
          <w:noProof/>
        </w:rPr>
        <w:lastRenderedPageBreak/>
        <w:drawing>
          <wp:inline distT="0" distB="0" distL="0" distR="0" wp14:anchorId="66777D24" wp14:editId="7BF7F14C">
            <wp:extent cx="5731510" cy="5866130"/>
            <wp:effectExtent l="0" t="0" r="0" b="1270"/>
            <wp:docPr id="782635436" name="Picture 4"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35436" name="Picture 4" descr="A diagram of different colored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866130"/>
                    </a:xfrm>
                    <a:prstGeom prst="rect">
                      <a:avLst/>
                    </a:prstGeom>
                  </pic:spPr>
                </pic:pic>
              </a:graphicData>
            </a:graphic>
          </wp:inline>
        </w:drawing>
      </w:r>
    </w:p>
    <w:p w14:paraId="656EB7F6" w14:textId="5B59C583" w:rsidR="003722A6" w:rsidRPr="00BA61B2" w:rsidRDefault="002A0695" w:rsidP="00BA61B2">
      <w:pPr>
        <w:pStyle w:val="Caption"/>
        <w:rPr>
          <w:i w:val="0"/>
          <w:iCs w:val="0"/>
        </w:rPr>
      </w:pPr>
      <w:r>
        <w:t xml:space="preserve">Figure </w:t>
      </w:r>
      <w:r>
        <w:fldChar w:fldCharType="begin"/>
      </w:r>
      <w:r>
        <w:instrText xml:space="preserve"> SEQ Figure \* ARABIC </w:instrText>
      </w:r>
      <w:r>
        <w:fldChar w:fldCharType="separate"/>
      </w:r>
      <w:r>
        <w:rPr>
          <w:noProof/>
        </w:rPr>
        <w:t>2</w:t>
      </w:r>
      <w:r>
        <w:fldChar w:fldCharType="end"/>
      </w:r>
      <w:r>
        <w:t xml:space="preserve">. </w:t>
      </w:r>
      <w:r>
        <w:rPr>
          <w:b/>
          <w:bCs/>
        </w:rPr>
        <w:t xml:space="preserve">Center of each serotype. </w:t>
      </w:r>
      <w:r>
        <w:rPr>
          <w:i w:val="0"/>
          <w:iCs w:val="0"/>
        </w:rPr>
        <w:t>Strains are presented in Figure 1</w:t>
      </w:r>
      <w:r w:rsidR="00450F02">
        <w:rPr>
          <w:i w:val="0"/>
          <w:iCs w:val="0"/>
        </w:rPr>
        <w:t>;</w:t>
      </w:r>
      <w:r>
        <w:rPr>
          <w:i w:val="0"/>
          <w:iCs w:val="0"/>
        </w:rPr>
        <w:t xml:space="preserve"> center of each serotype is highlighted with a gold star as indicated in the legend.</w:t>
      </w:r>
    </w:p>
    <w:p w14:paraId="64861A97" w14:textId="3B5997A4" w:rsidR="0034237A" w:rsidRPr="0034237A" w:rsidRDefault="0034237A" w:rsidP="0034237A">
      <w:pPr>
        <w:rPr>
          <w:b/>
          <w:bCs/>
        </w:rPr>
      </w:pPr>
      <w:r>
        <w:rPr>
          <w:b/>
          <w:bCs/>
        </w:rPr>
        <w:t>References</w:t>
      </w:r>
    </w:p>
    <w:p w14:paraId="069A12AD" w14:textId="77777777" w:rsidR="0034237A" w:rsidRPr="0034237A" w:rsidRDefault="0034237A" w:rsidP="0034237A">
      <w:pPr>
        <w:pStyle w:val="Bibliography"/>
        <w:rPr>
          <w:rFonts w:ascii="Aptos"/>
        </w:rPr>
      </w:pPr>
      <w:r>
        <w:rPr>
          <w:lang w:val="en-US"/>
        </w:rPr>
        <w:fldChar w:fldCharType="begin"/>
      </w:r>
      <w:r>
        <w:rPr>
          <w:lang w:val="en-US"/>
        </w:rPr>
        <w:instrText xml:space="preserve"> ADDIN ZOTERO_BIBL {"uncited":[],"omitted":[],"custom":[]} CSL_BIBLIOGRAPHY </w:instrText>
      </w:r>
      <w:r>
        <w:rPr>
          <w:lang w:val="en-US"/>
        </w:rPr>
        <w:fldChar w:fldCharType="separate"/>
      </w:r>
      <w:r w:rsidRPr="0034237A">
        <w:rPr>
          <w:rFonts w:ascii="Aptos"/>
        </w:rPr>
        <w:t>1.</w:t>
      </w:r>
      <w:r w:rsidRPr="0034237A">
        <w:rPr>
          <w:rFonts w:ascii="Aptos"/>
        </w:rPr>
        <w:tab/>
        <w:t>Mifsud JCO, Lytras S, Oliver MR, Toon K, Costa VA, Holmes EC, et al. Mapping glycoprotein structure reveals Flaviviridae evolutionary history. Nature [Internet]. 2024 Sep 4 [cited 2024 Sep 4]; Available from: https://www.nature.com/articles/s41586-024-07899-8</w:t>
      </w:r>
    </w:p>
    <w:p w14:paraId="5FCB1A96" w14:textId="77777777" w:rsidR="0034237A" w:rsidRPr="0034237A" w:rsidRDefault="0034237A" w:rsidP="0034237A">
      <w:pPr>
        <w:pStyle w:val="Bibliography"/>
        <w:rPr>
          <w:rFonts w:ascii="Aptos"/>
        </w:rPr>
      </w:pPr>
      <w:r w:rsidRPr="0034237A">
        <w:rPr>
          <w:rFonts w:ascii="Aptos"/>
        </w:rPr>
        <w:t>2.</w:t>
      </w:r>
      <w:r w:rsidRPr="0034237A">
        <w:rPr>
          <w:rFonts w:ascii="Aptos"/>
        </w:rPr>
        <w:tab/>
        <w:t xml:space="preserve">Holmes E, Twiddy S. The origin, emergence and evolutionary genetics of dengue virus. Infection, Genetics and Evolution. 2003 May;3(1):19–28. </w:t>
      </w:r>
    </w:p>
    <w:p w14:paraId="0DC7DEFC" w14:textId="77777777" w:rsidR="0034237A" w:rsidRPr="0034237A" w:rsidRDefault="0034237A" w:rsidP="0034237A">
      <w:pPr>
        <w:pStyle w:val="Bibliography"/>
        <w:rPr>
          <w:rFonts w:ascii="Aptos"/>
        </w:rPr>
      </w:pPr>
      <w:r w:rsidRPr="0034237A">
        <w:rPr>
          <w:rFonts w:ascii="Aptos"/>
        </w:rPr>
        <w:t>3.</w:t>
      </w:r>
      <w:r w:rsidRPr="0034237A">
        <w:rPr>
          <w:rFonts w:ascii="Aptos"/>
        </w:rPr>
        <w:tab/>
        <w:t xml:space="preserve">Rose NH, Badolo A, Sylla M, Akorli J, Otoo S, Gloria-Soria A, et al. Dating the origin and spread of specialization on human hosts in Aedes aegypti mosquitoes. eLife. 2023 Mar 10;12:e83524. </w:t>
      </w:r>
    </w:p>
    <w:p w14:paraId="47C23201" w14:textId="77777777" w:rsidR="0034237A" w:rsidRPr="0034237A" w:rsidRDefault="0034237A" w:rsidP="0034237A">
      <w:pPr>
        <w:pStyle w:val="Bibliography"/>
        <w:rPr>
          <w:rFonts w:ascii="Aptos"/>
        </w:rPr>
      </w:pPr>
      <w:r w:rsidRPr="0034237A">
        <w:rPr>
          <w:rFonts w:ascii="Aptos"/>
        </w:rPr>
        <w:lastRenderedPageBreak/>
        <w:t>4.</w:t>
      </w:r>
      <w:r w:rsidRPr="0034237A">
        <w:rPr>
          <w:rFonts w:ascii="Aptos"/>
        </w:rPr>
        <w:tab/>
        <w:t xml:space="preserve">Katzelnick LC, Gresh L, Halloran ME, Mercado JC, Kuan G, Gordon A, et al. Antibody-dependent enhancement of severe dengue disease in humans. Science. 2017 Nov 17;358(6365):929–32. </w:t>
      </w:r>
    </w:p>
    <w:p w14:paraId="0CC9431D" w14:textId="4B623170" w:rsidR="00D40947" w:rsidRPr="00D40947" w:rsidRDefault="0034237A">
      <w:pPr>
        <w:rPr>
          <w:lang w:val="en-US"/>
        </w:rPr>
      </w:pPr>
      <w:r>
        <w:rPr>
          <w:lang w:val="en-US"/>
        </w:rPr>
        <w:fldChar w:fldCharType="end"/>
      </w:r>
    </w:p>
    <w:sectPr w:rsidR="00D40947" w:rsidRPr="00D409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1C0E3B" w14:textId="77777777" w:rsidR="00CB0660" w:rsidRDefault="00CB0660" w:rsidP="0034237A">
      <w:pPr>
        <w:spacing w:after="0" w:line="240" w:lineRule="auto"/>
      </w:pPr>
      <w:r>
        <w:separator/>
      </w:r>
    </w:p>
  </w:endnote>
  <w:endnote w:type="continuationSeparator" w:id="0">
    <w:p w14:paraId="168F4112" w14:textId="77777777" w:rsidR="00CB0660" w:rsidRDefault="00CB0660" w:rsidP="00342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ABF4D" w14:textId="77777777" w:rsidR="00CB0660" w:rsidRDefault="00CB0660" w:rsidP="0034237A">
      <w:pPr>
        <w:spacing w:after="0" w:line="240" w:lineRule="auto"/>
      </w:pPr>
      <w:r>
        <w:separator/>
      </w:r>
    </w:p>
  </w:footnote>
  <w:footnote w:type="continuationSeparator" w:id="0">
    <w:p w14:paraId="680F5F47" w14:textId="77777777" w:rsidR="00CB0660" w:rsidRDefault="00CB0660" w:rsidP="003423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47"/>
    <w:rsid w:val="000025F2"/>
    <w:rsid w:val="00024ED9"/>
    <w:rsid w:val="00087C0A"/>
    <w:rsid w:val="000B184F"/>
    <w:rsid w:val="000E42BF"/>
    <w:rsid w:val="001131F8"/>
    <w:rsid w:val="00176578"/>
    <w:rsid w:val="00192481"/>
    <w:rsid w:val="001A52E3"/>
    <w:rsid w:val="00211957"/>
    <w:rsid w:val="00226864"/>
    <w:rsid w:val="00246B22"/>
    <w:rsid w:val="002A0695"/>
    <w:rsid w:val="002A2373"/>
    <w:rsid w:val="002E28F5"/>
    <w:rsid w:val="0034237A"/>
    <w:rsid w:val="003722A6"/>
    <w:rsid w:val="00382EBA"/>
    <w:rsid w:val="003F63F0"/>
    <w:rsid w:val="00450F02"/>
    <w:rsid w:val="00497607"/>
    <w:rsid w:val="00553180"/>
    <w:rsid w:val="00721559"/>
    <w:rsid w:val="007C79A1"/>
    <w:rsid w:val="007F1E16"/>
    <w:rsid w:val="008039EE"/>
    <w:rsid w:val="008657A4"/>
    <w:rsid w:val="00885624"/>
    <w:rsid w:val="009B544D"/>
    <w:rsid w:val="009D204B"/>
    <w:rsid w:val="00AA3BCA"/>
    <w:rsid w:val="00AA5E17"/>
    <w:rsid w:val="00AC724B"/>
    <w:rsid w:val="00AE43F4"/>
    <w:rsid w:val="00B77358"/>
    <w:rsid w:val="00BA12C3"/>
    <w:rsid w:val="00BA61B2"/>
    <w:rsid w:val="00BD44F0"/>
    <w:rsid w:val="00BD7CD8"/>
    <w:rsid w:val="00CB0660"/>
    <w:rsid w:val="00CB461B"/>
    <w:rsid w:val="00CC1184"/>
    <w:rsid w:val="00D40947"/>
    <w:rsid w:val="00D72A25"/>
    <w:rsid w:val="00DC4346"/>
    <w:rsid w:val="00DE3247"/>
    <w:rsid w:val="00E00DEE"/>
    <w:rsid w:val="00E31A3C"/>
    <w:rsid w:val="00EA5CC9"/>
    <w:rsid w:val="00F90609"/>
    <w:rsid w:val="00FC1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0A9633"/>
  <w15:chartTrackingRefBased/>
  <w15:docId w15:val="{8B28568C-E47E-734E-8C9B-61663656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9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9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09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9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9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9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9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09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9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9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947"/>
    <w:rPr>
      <w:rFonts w:eastAsiaTheme="majorEastAsia" w:cstheme="majorBidi"/>
      <w:color w:val="272727" w:themeColor="text1" w:themeTint="D8"/>
    </w:rPr>
  </w:style>
  <w:style w:type="paragraph" w:styleId="Title">
    <w:name w:val="Title"/>
    <w:basedOn w:val="Normal"/>
    <w:next w:val="Normal"/>
    <w:link w:val="TitleChar"/>
    <w:uiPriority w:val="10"/>
    <w:qFormat/>
    <w:rsid w:val="00D40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947"/>
    <w:pPr>
      <w:spacing w:before="160"/>
      <w:jc w:val="center"/>
    </w:pPr>
    <w:rPr>
      <w:i/>
      <w:iCs/>
      <w:color w:val="404040" w:themeColor="text1" w:themeTint="BF"/>
    </w:rPr>
  </w:style>
  <w:style w:type="character" w:customStyle="1" w:styleId="QuoteChar">
    <w:name w:val="Quote Char"/>
    <w:basedOn w:val="DefaultParagraphFont"/>
    <w:link w:val="Quote"/>
    <w:uiPriority w:val="29"/>
    <w:rsid w:val="00D40947"/>
    <w:rPr>
      <w:i/>
      <w:iCs/>
      <w:color w:val="404040" w:themeColor="text1" w:themeTint="BF"/>
    </w:rPr>
  </w:style>
  <w:style w:type="paragraph" w:styleId="ListParagraph">
    <w:name w:val="List Paragraph"/>
    <w:basedOn w:val="Normal"/>
    <w:uiPriority w:val="34"/>
    <w:qFormat/>
    <w:rsid w:val="00D40947"/>
    <w:pPr>
      <w:ind w:left="720"/>
      <w:contextualSpacing/>
    </w:pPr>
  </w:style>
  <w:style w:type="character" w:styleId="IntenseEmphasis">
    <w:name w:val="Intense Emphasis"/>
    <w:basedOn w:val="DefaultParagraphFont"/>
    <w:uiPriority w:val="21"/>
    <w:qFormat/>
    <w:rsid w:val="00D40947"/>
    <w:rPr>
      <w:i/>
      <w:iCs/>
      <w:color w:val="0F4761" w:themeColor="accent1" w:themeShade="BF"/>
    </w:rPr>
  </w:style>
  <w:style w:type="paragraph" w:styleId="IntenseQuote">
    <w:name w:val="Intense Quote"/>
    <w:basedOn w:val="Normal"/>
    <w:next w:val="Normal"/>
    <w:link w:val="IntenseQuoteChar"/>
    <w:uiPriority w:val="30"/>
    <w:qFormat/>
    <w:rsid w:val="00D40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947"/>
    <w:rPr>
      <w:i/>
      <w:iCs/>
      <w:color w:val="0F4761" w:themeColor="accent1" w:themeShade="BF"/>
    </w:rPr>
  </w:style>
  <w:style w:type="character" w:styleId="IntenseReference">
    <w:name w:val="Intense Reference"/>
    <w:basedOn w:val="DefaultParagraphFont"/>
    <w:uiPriority w:val="32"/>
    <w:qFormat/>
    <w:rsid w:val="00D40947"/>
    <w:rPr>
      <w:b/>
      <w:bCs/>
      <w:smallCaps/>
      <w:color w:val="0F4761" w:themeColor="accent1" w:themeShade="BF"/>
      <w:spacing w:val="5"/>
    </w:rPr>
  </w:style>
  <w:style w:type="paragraph" w:styleId="Caption">
    <w:name w:val="caption"/>
    <w:basedOn w:val="Normal"/>
    <w:next w:val="Normal"/>
    <w:uiPriority w:val="35"/>
    <w:unhideWhenUsed/>
    <w:qFormat/>
    <w:rsid w:val="000E42BF"/>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34237A"/>
    <w:pPr>
      <w:tabs>
        <w:tab w:val="left" w:pos="260"/>
      </w:tabs>
      <w:spacing w:after="240" w:line="240" w:lineRule="auto"/>
      <w:ind w:left="264" w:hanging="264"/>
    </w:pPr>
  </w:style>
  <w:style w:type="paragraph" w:styleId="Header">
    <w:name w:val="header"/>
    <w:basedOn w:val="Normal"/>
    <w:link w:val="HeaderChar"/>
    <w:uiPriority w:val="99"/>
    <w:unhideWhenUsed/>
    <w:rsid w:val="003423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37A"/>
  </w:style>
  <w:style w:type="paragraph" w:styleId="Footer">
    <w:name w:val="footer"/>
    <w:basedOn w:val="Normal"/>
    <w:link w:val="FooterChar"/>
    <w:uiPriority w:val="99"/>
    <w:unhideWhenUsed/>
    <w:rsid w:val="003423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37A"/>
  </w:style>
  <w:style w:type="character" w:styleId="PlaceholderText">
    <w:name w:val="Placeholder Text"/>
    <w:basedOn w:val="DefaultParagraphFont"/>
    <w:uiPriority w:val="99"/>
    <w:semiHidden/>
    <w:rsid w:val="00CC118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564570">
      <w:bodyDiv w:val="1"/>
      <w:marLeft w:val="0"/>
      <w:marRight w:val="0"/>
      <w:marTop w:val="0"/>
      <w:marBottom w:val="0"/>
      <w:divBdr>
        <w:top w:val="none" w:sz="0" w:space="0" w:color="auto"/>
        <w:left w:val="none" w:sz="0" w:space="0" w:color="auto"/>
        <w:bottom w:val="none" w:sz="0" w:space="0" w:color="auto"/>
        <w:right w:val="none" w:sz="0" w:space="0" w:color="auto"/>
      </w:divBdr>
      <w:divsChild>
        <w:div w:id="857619851">
          <w:marLeft w:val="0"/>
          <w:marRight w:val="0"/>
          <w:marTop w:val="0"/>
          <w:marBottom w:val="0"/>
          <w:divBdr>
            <w:top w:val="none" w:sz="0" w:space="0" w:color="auto"/>
            <w:left w:val="none" w:sz="0" w:space="0" w:color="auto"/>
            <w:bottom w:val="none" w:sz="0" w:space="0" w:color="auto"/>
            <w:right w:val="none" w:sz="0" w:space="0" w:color="auto"/>
          </w:divBdr>
          <w:divsChild>
            <w:div w:id="771124752">
              <w:marLeft w:val="0"/>
              <w:marRight w:val="0"/>
              <w:marTop w:val="0"/>
              <w:marBottom w:val="0"/>
              <w:divBdr>
                <w:top w:val="none" w:sz="0" w:space="0" w:color="auto"/>
                <w:left w:val="none" w:sz="0" w:space="0" w:color="auto"/>
                <w:bottom w:val="none" w:sz="0" w:space="0" w:color="auto"/>
                <w:right w:val="none" w:sz="0" w:space="0" w:color="auto"/>
              </w:divBdr>
            </w:div>
            <w:div w:id="1955012668">
              <w:marLeft w:val="0"/>
              <w:marRight w:val="0"/>
              <w:marTop w:val="0"/>
              <w:marBottom w:val="0"/>
              <w:divBdr>
                <w:top w:val="none" w:sz="0" w:space="0" w:color="auto"/>
                <w:left w:val="none" w:sz="0" w:space="0" w:color="auto"/>
                <w:bottom w:val="none" w:sz="0" w:space="0" w:color="auto"/>
                <w:right w:val="none" w:sz="0" w:space="0" w:color="auto"/>
              </w:divBdr>
            </w:div>
            <w:div w:id="739451538">
              <w:marLeft w:val="0"/>
              <w:marRight w:val="0"/>
              <w:marTop w:val="0"/>
              <w:marBottom w:val="0"/>
              <w:divBdr>
                <w:top w:val="none" w:sz="0" w:space="0" w:color="auto"/>
                <w:left w:val="none" w:sz="0" w:space="0" w:color="auto"/>
                <w:bottom w:val="none" w:sz="0" w:space="0" w:color="auto"/>
                <w:right w:val="none" w:sz="0" w:space="0" w:color="auto"/>
              </w:divBdr>
            </w:div>
            <w:div w:id="1180656190">
              <w:marLeft w:val="0"/>
              <w:marRight w:val="0"/>
              <w:marTop w:val="0"/>
              <w:marBottom w:val="0"/>
              <w:divBdr>
                <w:top w:val="none" w:sz="0" w:space="0" w:color="auto"/>
                <w:left w:val="none" w:sz="0" w:space="0" w:color="auto"/>
                <w:bottom w:val="none" w:sz="0" w:space="0" w:color="auto"/>
                <w:right w:val="none" w:sz="0" w:space="0" w:color="auto"/>
              </w:divBdr>
            </w:div>
            <w:div w:id="4611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3808">
      <w:bodyDiv w:val="1"/>
      <w:marLeft w:val="0"/>
      <w:marRight w:val="0"/>
      <w:marTop w:val="0"/>
      <w:marBottom w:val="0"/>
      <w:divBdr>
        <w:top w:val="none" w:sz="0" w:space="0" w:color="auto"/>
        <w:left w:val="none" w:sz="0" w:space="0" w:color="auto"/>
        <w:bottom w:val="none" w:sz="0" w:space="0" w:color="auto"/>
        <w:right w:val="none" w:sz="0" w:space="0" w:color="auto"/>
      </w:divBdr>
      <w:divsChild>
        <w:div w:id="548802801">
          <w:marLeft w:val="0"/>
          <w:marRight w:val="0"/>
          <w:marTop w:val="0"/>
          <w:marBottom w:val="0"/>
          <w:divBdr>
            <w:top w:val="none" w:sz="0" w:space="0" w:color="auto"/>
            <w:left w:val="none" w:sz="0" w:space="0" w:color="auto"/>
            <w:bottom w:val="none" w:sz="0" w:space="0" w:color="auto"/>
            <w:right w:val="none" w:sz="0" w:space="0" w:color="auto"/>
          </w:divBdr>
          <w:divsChild>
            <w:div w:id="1965888524">
              <w:marLeft w:val="0"/>
              <w:marRight w:val="0"/>
              <w:marTop w:val="0"/>
              <w:marBottom w:val="0"/>
              <w:divBdr>
                <w:top w:val="none" w:sz="0" w:space="0" w:color="auto"/>
                <w:left w:val="none" w:sz="0" w:space="0" w:color="auto"/>
                <w:bottom w:val="none" w:sz="0" w:space="0" w:color="auto"/>
                <w:right w:val="none" w:sz="0" w:space="0" w:color="auto"/>
              </w:divBdr>
            </w:div>
            <w:div w:id="222956467">
              <w:marLeft w:val="0"/>
              <w:marRight w:val="0"/>
              <w:marTop w:val="0"/>
              <w:marBottom w:val="0"/>
              <w:divBdr>
                <w:top w:val="none" w:sz="0" w:space="0" w:color="auto"/>
                <w:left w:val="none" w:sz="0" w:space="0" w:color="auto"/>
                <w:bottom w:val="none" w:sz="0" w:space="0" w:color="auto"/>
                <w:right w:val="none" w:sz="0" w:space="0" w:color="auto"/>
              </w:divBdr>
            </w:div>
            <w:div w:id="1533037482">
              <w:marLeft w:val="0"/>
              <w:marRight w:val="0"/>
              <w:marTop w:val="0"/>
              <w:marBottom w:val="0"/>
              <w:divBdr>
                <w:top w:val="none" w:sz="0" w:space="0" w:color="auto"/>
                <w:left w:val="none" w:sz="0" w:space="0" w:color="auto"/>
                <w:bottom w:val="none" w:sz="0" w:space="0" w:color="auto"/>
                <w:right w:val="none" w:sz="0" w:space="0" w:color="auto"/>
              </w:divBdr>
            </w:div>
            <w:div w:id="1406683099">
              <w:marLeft w:val="0"/>
              <w:marRight w:val="0"/>
              <w:marTop w:val="0"/>
              <w:marBottom w:val="0"/>
              <w:divBdr>
                <w:top w:val="none" w:sz="0" w:space="0" w:color="auto"/>
                <w:left w:val="none" w:sz="0" w:space="0" w:color="auto"/>
                <w:bottom w:val="none" w:sz="0" w:space="0" w:color="auto"/>
                <w:right w:val="none" w:sz="0" w:space="0" w:color="auto"/>
              </w:divBdr>
            </w:div>
            <w:div w:id="9709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2761</Words>
  <Characters>15739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Cascante Vega, Jaime E.</dc:creator>
  <cp:keywords/>
  <dc:description/>
  <cp:lastModifiedBy>Cascante Vega, Jaime E.</cp:lastModifiedBy>
  <cp:revision>22</cp:revision>
  <dcterms:created xsi:type="dcterms:W3CDTF">2024-09-18T18:45:00Z</dcterms:created>
  <dcterms:modified xsi:type="dcterms:W3CDTF">2024-09-23T00:28:00Z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id="6x03JbiN"/&gt;&lt;style id="http://www.zotero.org/styles/vancouver" locale="en-US" hasBibliography="1" bibliographyStyleHasBeenSet="1"/&gt;&lt;prefs&gt;&lt;pref name="fieldType" value="Field"/&gt;&lt;/prefs&gt;&lt;/data&gt;</vt:lpwstr>
  </property>
</Properties>
</file>