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РОЗДІЛ 5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"/>
        </w:rPr>
        <w:t>Економічне обґрунтування доцільності роботи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5.1. Економічна характеристика програмного продукту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5.2. Інформаційне забезпечення та формування гіпотези щодо потреби розроблення програмного продукту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5.3. Оцінювання та аналізування факторів зовнішнього та внутрішнього середовищ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</w:rPr>
        <w:t xml:space="preserve">Таблиця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lang w:val="en"/>
        </w:rPr>
        <w:t>5.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</w:rPr>
        <w:t>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Результати експертного оцінювання впливу факторів зовнішнього т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"/>
        </w:rPr>
        <w:t xml:space="preserve">а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внутрішнього середовищ</w:t>
      </w:r>
    </w:p>
    <w:tbl>
      <w:tblPr>
        <w:tblStyle w:val="249"/>
        <w:tblW w:w="101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8"/>
        <w:gridCol w:w="1980"/>
        <w:gridCol w:w="1800"/>
        <w:gridCol w:w="17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8"/>
                <w:szCs w:val="28"/>
              </w:rPr>
              <w:t>Фактори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8"/>
                <w:szCs w:val="28"/>
              </w:rPr>
              <w:t>Середня експертна оцінка, бали</w:t>
            </w: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8"/>
                <w:szCs w:val="28"/>
              </w:rPr>
              <w:t>Середня вагомість факторів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8"/>
                <w:szCs w:val="28"/>
              </w:rPr>
              <w:t>Зважений рівень впливу, бали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1" w:type="dxa"/>
            <w:gridSpan w:val="4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color w:val="000000"/>
                <w:sz w:val="28"/>
                <w:szCs w:val="28"/>
              </w:rPr>
              <w:t>Фактори зовнішнього середовища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60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Споживачі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Постачальники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Конкуренти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Державні органи влади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Інфраструктура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Законодавчі акти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Профспілки, партії та інші громадські організації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Система економічних відносин в державі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Організації-сусіди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Міжнародні події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Міжнародне оточення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Науково-технічний прогрес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Політичні обставини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Соціально-культурні обставини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Рівень техніки та технологій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Особливості міжнародних економічних відносин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Стан економіки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Загальна сума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111" w:type="dxa"/>
            <w:gridSpan w:val="4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color w:val="000000"/>
                <w:sz w:val="28"/>
                <w:szCs w:val="28"/>
              </w:rPr>
              <w:t>Фактори внутрішнього середовища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Цілі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Структура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Завдання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Технологія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Працівники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 xml:space="preserve">Ресурси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Загальна сума </w:t>
            </w:r>
          </w:p>
        </w:tc>
        <w:tc>
          <w:tcPr>
            <w:tcW w:w="19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-108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42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5.</w:t>
      </w:r>
      <w:r>
        <w:rPr>
          <w:rFonts w:hint="default" w:cs="Times New Roman"/>
          <w:sz w:val="28"/>
          <w:szCs w:val="28"/>
          <w:lang w:val="en"/>
        </w:rPr>
        <w:t>4. Формування стратегічних альтернатив</w:t>
      </w:r>
    </w:p>
    <w:p>
      <w:pPr>
        <w:spacing w:line="360" w:lineRule="auto"/>
        <w:jc w:val="both"/>
        <w:rPr>
          <w:rFonts w:hint="default" w:cs="Times New Roman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 w:cs="Times New Roman"/>
          <w:sz w:val="28"/>
          <w:szCs w:val="28"/>
          <w:lang w:val="en"/>
        </w:rPr>
      </w:pPr>
    </w:p>
    <w:p>
      <w:pPr>
        <w:jc w:val="center"/>
      </w:pPr>
      <w:r>
        <w:drawing>
          <wp:inline distT="0" distB="0" distL="114300" distR="114300">
            <wp:extent cx="4810760" cy="3005455"/>
            <wp:effectExtent l="0" t="0" r="8890" b="4445"/>
            <wp:docPr id="16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en"/>
        </w:rPr>
      </w:pPr>
      <w:r>
        <w:rPr>
          <w:rFonts w:hint="default"/>
          <w:i/>
          <w:iCs/>
          <w:lang w:val="en"/>
        </w:rPr>
        <w:t>Рис.5.1 Стратегічні аль</w:t>
      </w:r>
      <w:bookmarkStart w:id="0" w:name="_GoBack"/>
      <w:bookmarkEnd w:id="0"/>
      <w:r>
        <w:rPr>
          <w:rFonts w:hint="default"/>
          <w:i/>
          <w:iCs/>
          <w:lang w:val="en"/>
        </w:rPr>
        <w:t>тернативи першої групи</w:t>
      </w:r>
    </w:p>
    <w:p>
      <w:pPr>
        <w:jc w:val="center"/>
        <w:rPr>
          <w:rFonts w:hint="default"/>
          <w:i/>
          <w:iCs/>
          <w:lang w:val="en"/>
        </w:rPr>
      </w:pPr>
      <w:r>
        <w:drawing>
          <wp:inline distT="0" distB="0" distL="114300" distR="114300">
            <wp:extent cx="4697095" cy="3137535"/>
            <wp:effectExtent l="0" t="0" r="8255" b="5715"/>
            <wp:docPr id="17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en"/>
        </w:rPr>
      </w:pPr>
      <w:r>
        <w:rPr>
          <w:rFonts w:hint="default"/>
          <w:i/>
          <w:iCs/>
          <w:lang w:val="en"/>
        </w:rPr>
        <w:t>Рис.5.2 Стратегічні альтернативи другої групи</w:t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5.5. Бюджетування</w:t>
      </w:r>
    </w:p>
    <w:p>
      <w:pPr>
        <w:rPr>
          <w:rFonts w:hint="default"/>
          <w:lang w:val="e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567"/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Таблиця </w:t>
      </w:r>
      <w:r>
        <w:rPr>
          <w:rFonts w:hint="default"/>
          <w:i/>
          <w:color w:val="000000"/>
          <w:sz w:val="28"/>
          <w:szCs w:val="28"/>
          <w:lang w:val="en"/>
        </w:rPr>
        <w:t>5.</w:t>
      </w:r>
      <w:r>
        <w:rPr>
          <w:i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567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Бюджет витрат матеріалів та комплектуючих виробів</w:t>
      </w:r>
    </w:p>
    <w:tbl>
      <w:tblPr>
        <w:tblStyle w:val="251"/>
        <w:tblW w:w="102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914"/>
        <w:gridCol w:w="1914"/>
        <w:gridCol w:w="1914"/>
        <w:gridCol w:w="19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Назва матеріалів та комплектуючих </w:t>
            </w:r>
          </w:p>
        </w:tc>
        <w:tc>
          <w:tcPr>
            <w:tcW w:w="191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Марка, тип, модель</w:t>
            </w:r>
          </w:p>
        </w:tc>
        <w:tc>
          <w:tcPr>
            <w:tcW w:w="191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Фактична кількість, шт. </w:t>
            </w:r>
          </w:p>
        </w:tc>
        <w:tc>
          <w:tcPr>
            <w:tcW w:w="191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Ціна за одиницю, грн.</w:t>
            </w:r>
          </w:p>
        </w:tc>
        <w:tc>
          <w:tcPr>
            <w:tcW w:w="19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Разом, грн.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Разом:</w:t>
            </w:r>
          </w:p>
        </w:tc>
        <w:tc>
          <w:tcPr>
            <w:tcW w:w="191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5.6. Вибір стратегії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5.7. Висновок</w:t>
      </w:r>
    </w:p>
    <w:sectPr>
      <w:pgSz w:w="11906" w:h="16838"/>
      <w:pgMar w:top="1134" w:right="567" w:bottom="1701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+Body Asian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9F7F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77C6BFB"/>
    <w:rsid w:val="3D6F2AC6"/>
    <w:rsid w:val="3FAF3D06"/>
    <w:rsid w:val="47DC6CEB"/>
    <w:rsid w:val="6AEC7106"/>
    <w:rsid w:val="76D7162A"/>
    <w:rsid w:val="7CF72B81"/>
    <w:rsid w:val="7EFFBDA3"/>
    <w:rsid w:val="7FEF50ED"/>
    <w:rsid w:val="9F4F1A83"/>
    <w:rsid w:val="BDB9A0A2"/>
    <w:rsid w:val="D5F76D7D"/>
    <w:rsid w:val="F3BB30F8"/>
    <w:rsid w:val="F66FE711"/>
    <w:rsid w:val="FF79F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+Body Asian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49">
    <w:name w:val="_Style 12"/>
    <w:basedOn w:val="25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1">
    <w:name w:val="_Style 13"/>
    <w:basedOn w:val="25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2021-04-21T12:29:00Z</dcterms:created>
  <dc:creator>king</dc:creator>
  <cp:lastModifiedBy>king</cp:lastModifiedBy>
  <dcterms:modified xsi:type="dcterms:W3CDTF">2021-04-21T12:43:47Z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