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B1009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Làm thế nào để nạp tiền vào eSIM?</w:t>
      </w:r>
      <w:r>
        <w:rPr>
          <w:color w:val="000000" w:themeColor="text1"/>
        </w:rPr>
      </w:r>
    </w:p>
    <w:p w14:paraId="7E7BBEBE">
      <w:pPr>
        <w:pBdr/>
        <w:spacing/>
        <w:ind/>
        <w:rPr/>
      </w:pPr>
      <w:r/>
      <w:r/>
    </w:p>
    <w:p w14:paraId="14F167A0">
      <w:pPr>
        <w:pBdr/>
        <w:spacing/>
        <w:ind/>
        <w:rPr/>
      </w:pPr>
      <w:r>
        <w:t xml:space="preserve">Hiện tại, các gói cước không hỗ trợ gia hạn. Bạn sẽ cần mua gói cước mới sau khi đạt đến giới hạn dữ liệu hoặc gói cước hết hạn; eSIM đã cài đặt không thể được sử dụng lại cho đơn hàng mới.</w:t>
      </w:r>
      <w:r/>
    </w:p>
    <w:p w14:paraId="5464E27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Nếu bạn có bất kỳ câu hỏi nào, vui lòng liên hệ với đội ngũ hỗ trợ của chúng tôi.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2025-12-10T07:12:39Z</dcterms:modified>
  <cp:category/>
</cp:coreProperties>
</file>