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FAB28B4">
      <w:pPr>
        <w:pStyle w:val="874"/>
        <w:pBdr/>
        <w:spacing/>
        <w:ind/>
        <w:rPr>
          <w:color w:val="000000" w:themeColor="text1"/>
        </w:rPr>
      </w:pPr>
      <w:r>
        <w:rPr>
          <w:color w:val="000000" w:themeColor="text1"/>
        </w:rPr>
        <w:t xml:space="preserve">Tôi có thể sử dụng eSIM để gọi điện hoặc gửi tin nhắn văn bản không?</w:t>
      </w:r>
      <w:r>
        <w:rPr>
          <w:color w:val="000000" w:themeColor="text1"/>
        </w:rPr>
      </w:r>
    </w:p>
    <w:p w14:paraId="1D801254">
      <w:pPr>
        <w:pBdr/>
        <w:spacing/>
        <w:ind/>
        <w:rPr/>
      </w:pPr>
      <w:r/>
      <w:r/>
    </w:p>
    <w:p w14:paraId="7B468292">
      <w:pPr>
        <w:pBdr/>
        <w:spacing/>
        <w:ind/>
        <w:rPr/>
      </w:pPr>
      <w:r>
        <w:t xml:space="preserve">Với tất cả các eSIM, bạn sẽ không thể gọi điện hoặc gửi tin nhắn văn bản, vì các gói eSIM của chúng tôi chỉ cung cấp dữ liệu. Tuy nhiên, bạn có thể sử dụng các cuộc gọi và tin nhắn văn bản qua internet.</w:t>
      </w:r>
      <w:r/>
    </w:p>
    <w:p w14:paraId="2582E186">
      <w:pPr>
        <w:pBdr/>
        <w:spacing/>
        <w:ind/>
        <w:rPr/>
      </w:pPr>
      <w:r/>
      <w:r/>
    </w:p>
    <w:p>
      <w:pPr>
        <w:pBdr/>
        <w:spacing/>
        <w:ind/>
        <w:rPr/>
      </w:pPr>
      <w:r>
        <w:t xml:space="preserve">Xin lưu ý rằng nếu bạn dự định sử dụng các ứng dụng của bên thứ ba để gọi điện hoặc gửi tin nhắn văn bản qua internet, vui lòng đảm bảo bạn đã thiết lập eSIM trước khi sử dụng.</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2025-12-10T07:11:38Z</dcterms:modified>
  <cp:category/>
</cp:coreProperties>
</file>