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B69FFC1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When does my eSIM data plan expire?</w:t>
      </w:r>
      <w:r>
        <w:rPr>
          <w:color w:val="000000" w:themeColor="text1"/>
        </w:rPr>
      </w:r>
    </w:p>
    <w:p w14:paraId="6CC27002">
      <w:pPr>
        <w:pBdr/>
        <w:spacing/>
        <w:ind/>
        <w:rPr/>
      </w:pPr>
      <w:r/>
      <w:r/>
    </w:p>
    <w:p w14:paraId="14265AE7">
      <w:pPr>
        <w:pBdr/>
        <w:spacing/>
        <w:ind/>
        <w:rPr/>
      </w:pPr>
      <w:r>
        <w:t xml:space="preserve">T</w:t>
      </w:r>
      <w:r>
        <w:t xml:space="preserve">he validity period starts when the eSIM activates. Most eSIMs will activate after installation when connected to a supported network at the destination. Your eSIM data plan will remain valid for the displayed period, provided you haven't used up all your d</w:t>
      </w:r>
      <w:r>
        <w:t xml:space="preserve">ata before then. Validity begins when the eSIM is activated. Most eSIMs activate when the installed eSIM connects to a supported network at the destination.</w:t>
      </w:r>
      <w:r/>
    </w:p>
    <w:p w14:paraId="698F6022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please feel free to contact support.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2025-12-10T07:41:48Z</dcterms:modified>
  <cp:category/>
</cp:coreProperties>
</file>