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60BD6A">
      <w:pPr>
        <w:pStyle w:val="874"/>
        <w:pBdr/>
        <w:spacing/>
        <w:ind/>
        <w:rPr>
          <w:color w:val="000000" w:themeColor="text1"/>
        </w:rPr>
      </w:pPr>
      <w:r>
        <w:rPr>
          <w:color w:val="000000" w:themeColor="text1"/>
        </w:rPr>
        <w:t xml:space="preserve">Kapan paket data eSIM saya berakhir?</w:t>
      </w:r>
      <w:r>
        <w:rPr>
          <w:color w:val="000000" w:themeColor="text1"/>
        </w:rPr>
      </w:r>
    </w:p>
    <w:p w14:paraId="454AD005">
      <w:pPr>
        <w:pBdr/>
        <w:spacing/>
        <w:ind/>
        <w:rPr/>
      </w:pPr>
      <w:r/>
      <w:r/>
    </w:p>
    <w:p w14:paraId="42AC08D7">
      <w:pPr>
        <w:pBdr/>
        <w:spacing/>
        <w:ind/>
        <w:rPr/>
      </w:pPr>
      <w:r>
        <w:t xml:space="preserve">M</w:t>
      </w:r>
      <w:r>
        <w:t xml:space="preserve">asa berlaku dimulai saat eSIM aktif. Sebagian besar eSIM akan aktif setelah instalasi ketika terhubung ke jaringan yang didukung di tujuan. Paket data eSIM Anda akan tetap berlaku selama periode yang ditampilkan, dengan syarat Anda belum menggunakan semua </w:t>
      </w:r>
      <w:r>
        <w:t xml:space="preserve">kuota data Anda sebelum tanggal tersebut. Masa berlaku dimulai saat eSIM diaktifkan. Sebagian besar eSIM aktif ketika eSIM yang terpasang terhubung ke jaringan yang didukung di tujuan.</w:t>
      </w:r>
      <w:r/>
    </w:p>
    <w:p w14:paraId="3B48BE79">
      <w:pPr>
        <w:pBdr/>
        <w:spacing/>
        <w:ind/>
        <w:rPr/>
      </w:pPr>
      <w:r/>
      <w:r/>
    </w:p>
    <w:p>
      <w:pPr>
        <w:pBdr/>
        <w:spacing/>
        <w:ind/>
        <w:rPr/>
      </w:pPr>
      <w:r>
        <w:t xml:space="preserve">Jika Anda memiliki pertanyaan, jangan ragu untuk menghubungi dukungan.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2025-12-10T08:16:38Z</dcterms:modified>
  <cp:category/>
</cp:coreProperties>
</file>