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A698972">
      <w:pPr>
        <w:pStyle w:val="874"/>
        <w:pBdr/>
        <w:spacing/>
        <w:ind/>
        <w:rPr>
          <w:color w:val="000000" w:themeColor="text1"/>
        </w:rPr>
      </w:pPr>
      <w:r>
        <w:rPr>
          <w:color w:val="000000" w:themeColor="text1"/>
        </w:rPr>
        <w:t xml:space="preserve">Bilakah pelan data eSIM saya tamat tempoh?</w:t>
      </w:r>
      <w:r>
        <w:rPr>
          <w:color w:val="000000" w:themeColor="text1"/>
        </w:rPr>
      </w:r>
    </w:p>
    <w:p w14:paraId="055A0197">
      <w:pPr>
        <w:pBdr/>
        <w:spacing/>
        <w:ind/>
        <w:rPr/>
      </w:pPr>
      <w:r/>
      <w:r/>
    </w:p>
    <w:p w14:paraId="69B86F0D">
      <w:pPr>
        <w:pBdr/>
        <w:spacing/>
        <w:ind/>
        <w:rPr/>
      </w:pPr>
      <w:r>
        <w:t xml:space="preserve">T</w:t>
      </w:r>
      <w:r>
        <w:t xml:space="preserve">empoh sah laku bermula apabila eSIM diaktifkan. Kebanyakan eSIM akan diaktifkan selepas pemasangan apabila disambungkan ke rangkaian yang disokong di destinasi. Pelan data eSIM anda akan kekal sah untuk tempoh yang dipaparkan, dengan syarat anda belum meng</w:t>
      </w:r>
      <w:r>
        <w:t xml:space="preserve">gunakan semua data anda sebelum itu. Sah laku bermula apabila eSIM diaktifkan. Kebanyakan eSIM diaktifkan apabila eSIM yang dipasang disambungkan ke rangkaian yang disokong di destinasi.</w:t>
      </w:r>
      <w:r/>
    </w:p>
    <w:p w14:paraId="6315C31F">
      <w:pPr>
        <w:pBdr/>
        <w:spacing/>
        <w:ind/>
        <w:rPr/>
      </w:pPr>
      <w:r/>
      <w:r/>
    </w:p>
    <w:p>
      <w:pPr>
        <w:pBdr/>
        <w:spacing/>
        <w:ind/>
        <w:rPr/>
      </w:pPr>
      <w:r>
        <w:t xml:space="preserve">Jika anda mempunyai sebarang pertanyaan, sila hubungi sokongan.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2025-12-10T07:50:10Z</dcterms:modified>
  <cp:category/>
</cp:coreProperties>
</file>