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4AA827">
      <w:pPr>
        <w:pStyle w:val="874"/>
        <w:pBdr/>
        <w:spacing/>
        <w:ind/>
        <w:rPr>
          <w:color w:val="000000" w:themeColor="text1"/>
        </w:rPr>
      </w:pPr>
      <w:r>
        <w:rPr>
          <w:color w:val="000000" w:themeColor="text1"/>
        </w:rPr>
        <w:t xml:space="preserve">Khi nào gói dữ liệu eSIM của tôi hết hạn?</w:t>
      </w:r>
      <w:r>
        <w:rPr>
          <w:color w:val="000000" w:themeColor="text1"/>
        </w:rPr>
      </w:r>
    </w:p>
    <w:p w14:paraId="70C77DD9">
      <w:pPr>
        <w:pBdr/>
        <w:spacing/>
        <w:ind/>
        <w:rPr/>
      </w:pPr>
      <w:r/>
      <w:r/>
    </w:p>
    <w:p w14:paraId="522FD49D">
      <w:pPr>
        <w:pBdr/>
        <w:spacing/>
        <w:ind/>
        <w:rPr/>
      </w:pPr>
      <w:r>
        <w:t xml:space="preserve">T</w:t>
      </w:r>
      <w:r>
        <w:t xml:space="preserve">hời hạn sử dụng bắt đầu từ khi eSIM được kích hoạt. Hầu hết các eSIM sẽ được kích hoạt sau khi cài đặt và kết nối với mạng được hỗ trợ tại điểm đến. Gói dữ liệu eSIM của bạn sẽ vẫn có hiệu lực trong thời hạn hiển thị, miễn là bạn chưa sử dụng hết dữ liệu t</w:t>
      </w:r>
      <w:r>
        <w:t xml:space="preserve">rước đó. Thời hạn sử dụng bắt đầu từ khi eSIM được kích hoạt. Hầu hết các eSIM sẽ được kích hoạt khi eSIM đã cài đặt kết nối với mạng được hỗ trợ tại điểm đến.</w:t>
      </w:r>
      <w:r/>
    </w:p>
    <w:p w14:paraId="1390F862">
      <w:pPr>
        <w:pBdr/>
        <w:spacing/>
        <w:ind/>
        <w:rPr/>
      </w:pPr>
      <w:r/>
      <w:r/>
    </w:p>
    <w:p>
      <w:pPr>
        <w:pBdr/>
        <w:spacing/>
        <w:ind/>
        <w:rPr/>
      </w:pPr>
      <w:r>
        <w:t xml:space="preserve">Nếu bạn có bất kỳ câu hỏi nào, vui lòng liên hệ với bộ phận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2025-12-10T08:02:58Z</dcterms:modified>
  <cp:category/>
</cp:coreProperties>
</file>