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B2C91B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我的 eSIM 數據流量套餐何時到期？</w:t>
      </w:r>
      <w:r>
        <w:rPr>
          <w:color w:val="000000" w:themeColor="text1"/>
        </w:rPr>
      </w:r>
    </w:p>
    <w:p w14:paraId="5DE8202F">
      <w:pPr>
        <w:pBdr/>
        <w:spacing/>
        <w:ind/>
        <w:rPr/>
      </w:pPr>
      <w:r>
        <w:t xml:space="preserve">The validity period starts when the eSIM activates. 大多數 eSIM 將在安裝後連接到目的地受支援的網路時啟動。您的 eSIM 封包將在顯示的有效期限內有效，只要您在此之前沒有消耗完所有資料即可。有效期 從 eSIM 啟動時開始。 當安裝的 eSIM 連接到目的地支援的網路時，大多數 eSIM 都會啟動。</w:t>
      </w:r>
      <w:r/>
    </w:p>
    <w:p>
      <w:pPr>
        <w:pBdr/>
        <w:spacing/>
        <w:ind/>
        <w:rPr/>
      </w:pPr>
      <w:r>
        <w:t xml:space="preserve">如果您有任何問題，請隨時聯絡支援。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2025-12-10T07:37:40Z</dcterms:modified>
  <cp:category/>
</cp:coreProperties>
</file>