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CE67A32">
      <w:pPr>
        <w:pStyle w:val="88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left="0"/>
        <w:rPr>
          <w:rFonts w:ascii="sans-serif" w:hAnsi="sans-serif" w:eastAsia="sans-serif" w:cs="sans-serif"/>
          <w:b/>
          <w:bCs/>
        </w:rPr>
      </w:pPr>
      <w:r>
        <w:rPr>
          <w:rFonts w:hint="default" w:ascii="sans-serif" w:hAnsi="sans-serif" w:eastAsia="sans-serif" w:cs="sans-serif"/>
          <w:b/>
          <w:bCs/>
        </w:rPr>
      </w:r>
      <w:r>
        <w:rPr>
          <w:rFonts w:hint="default" w:ascii="sans-serif" w:hAnsi="sans-serif" w:eastAsia="sans-serif" w:cs="sans-serif"/>
          <w:b/>
          <w:bCs/>
        </w:rPr>
        <w:t xml:space="preserve">الشروط العامة</w:t>
      </w:r>
      <w:r>
        <w:rPr>
          <w:rFonts w:hint="default" w:ascii="sans-serif" w:hAnsi="sans-serif" w:eastAsia="sans-serif" w:cs="sans-serif"/>
          <w:b/>
          <w:bCs/>
        </w:rPr>
      </w:r>
      <w:r>
        <w:rPr>
          <w:rFonts w:ascii="sans-serif" w:hAnsi="sans-serif" w:eastAsia="sans-serif" w:cs="sans-serif"/>
          <w:b/>
          <w:bCs/>
        </w:rPr>
      </w:r>
    </w:p>
    <w:p w14:paraId="5648A5E6">
      <w:pPr>
        <w:pBdr/>
        <w:spacing/>
        <w:ind/>
        <w:rPr/>
      </w:pPr>
      <w:r>
        <w:rPr>
          <w:rFonts w:ascii="sans-serif" w:hAnsi="sans-serif" w:eastAsia="sans-serif" w:cs="sans-serif"/>
          <w:b/>
          <w:bCs/>
        </w:rPr>
      </w:r>
      <w:r>
        <w:rPr>
          <w:rFonts w:ascii="sans-serif" w:hAnsi="sans-serif" w:eastAsia="sans-serif" w:cs="sans-serif"/>
          <w:b/>
          <w:bCs/>
        </w:rPr>
      </w:r>
      <w:r/>
    </w:p>
    <w:p w14:paraId="56F8FD9B">
      <w:pPr>
        <w:pBdr/>
        <w:spacing/>
        <w:ind/>
        <w:rPr/>
      </w:pPr>
      <w:r/>
      <w:r/>
    </w:p>
    <w:p w14:paraId="2BE588CF">
      <w:pPr>
        <w:pBdr/>
        <w:spacing/>
        <w:ind/>
        <w:rPr/>
      </w:pPr>
      <w:r>
        <w:t xml:space="preserve">1. نطاق التطبيق</w:t>
      </w:r>
      <w:r/>
    </w:p>
    <w:p w14:paraId="52E0A35F">
      <w:pPr>
        <w:pBdr/>
        <w:spacing/>
        <w:ind/>
        <w:rPr/>
      </w:pPr>
      <w:r/>
      <w:r/>
    </w:p>
    <w:p w14:paraId="2C6E3DAA">
      <w:pPr>
        <w:pBdr/>
        <w:spacing/>
        <w:ind/>
        <w:rPr/>
      </w:pPr>
      <w:r>
        <w:t xml:space="preserve">- تنطبق هذه الشروط العامة على تطبيق "eSIM Home" لنظام iOS، وتشمل الحساب، والطلبات، والدفع، ومعلومات التثبيت، وعرض الاستخدام، وخدمة العملاء والدعم، ووظائف أخرى.</w:t>
      </w:r>
      <w:r/>
    </w:p>
    <w:p w14:paraId="55E9C256">
      <w:pPr>
        <w:pBdr/>
        <w:spacing/>
        <w:ind/>
        <w:rPr/>
      </w:pPr>
      <w:r/>
      <w:r/>
    </w:p>
    <w:p w14:paraId="3C14388B">
      <w:pPr>
        <w:pBdr/>
        <w:spacing/>
        <w:ind/>
        <w:rPr/>
      </w:pPr>
      <w:r>
        <w:t xml:space="preserve">- يتم الحصول على بعض بيانات الخدمة من مزودي الخدمة وبوابات الدفع؛ وتخضع تغطية الشبكة وجودتها الفعلية لمواصفات المشغل.</w:t>
      </w:r>
      <w:r/>
    </w:p>
    <w:p w14:paraId="553B1279">
      <w:pPr>
        <w:pBdr/>
        <w:spacing/>
        <w:ind/>
        <w:rPr/>
      </w:pPr>
      <w:r/>
      <w:r/>
    </w:p>
    <w:p w14:paraId="01E70FD1">
      <w:pPr>
        <w:pBdr/>
        <w:spacing/>
        <w:ind/>
        <w:rPr/>
      </w:pPr>
      <w:r>
        <w:t xml:space="preserve">2. وصف الخدمة</w:t>
      </w:r>
      <w:r/>
    </w:p>
    <w:p w14:paraId="6F316277">
      <w:pPr>
        <w:pBdr/>
        <w:spacing/>
        <w:ind/>
        <w:rPr/>
      </w:pPr>
      <w:r/>
      <w:r/>
    </w:p>
    <w:p w14:paraId="7BB6072A">
      <w:pPr>
        <w:pBdr/>
        <w:spacing/>
        <w:ind/>
        <w:rPr/>
      </w:pPr>
      <w:r>
        <w:t xml:space="preserve">- يمكنك استعراض باقات eSIM، وإنشاء الطلبات، وإتمام عمليات الدفع. داخل التطبيق، يمكنك عرض معلومات التثبيت (مثل SM-DP+، ورمز التفعيل، ورمز الاستجابة السريعة)، واتباع التعليمات لإتمام التثبيت والتفعيل.</w:t>
      </w:r>
      <w:r/>
    </w:p>
    <w:p w14:paraId="58EE2798">
      <w:pPr>
        <w:pBdr/>
        <w:spacing/>
        <w:ind/>
        <w:rPr/>
      </w:pPr>
      <w:r/>
      <w:r/>
    </w:p>
    <w:p w14:paraId="7E87AABB">
      <w:pPr>
        <w:pBdr/>
        <w:spacing/>
        <w:ind/>
        <w:rPr/>
      </w:pPr>
      <w:r>
        <w:t xml:space="preserve">- يتم إرجاع تواريخ الاستخدام والانتهاء من واجهة مزود الخدمة، وتُعرض كقيم مرجعية؛ وقد يكون هناك تأخير في المزامنة.</w:t>
      </w:r>
      <w:r/>
    </w:p>
    <w:p w14:paraId="1C36B274">
      <w:pPr>
        <w:pBdr/>
        <w:spacing/>
        <w:ind/>
        <w:rPr/>
      </w:pPr>
      <w:r/>
      <w:r/>
    </w:p>
    <w:p w14:paraId="7D3E6C3F">
      <w:pPr>
        <w:pBdr/>
        <w:spacing/>
        <w:ind/>
        <w:rPr/>
      </w:pPr>
      <w:r>
        <w:t xml:space="preserve">3. الحساب والإعدادات</w:t>
      </w:r>
      <w:r/>
    </w:p>
    <w:p w14:paraId="343EB6AA">
      <w:pPr>
        <w:pBdr/>
        <w:spacing/>
        <w:ind/>
        <w:rPr/>
      </w:pPr>
      <w:r/>
      <w:r/>
    </w:p>
    <w:p w14:paraId="454F3B18">
      <w:pPr>
        <w:pBdr/>
        <w:spacing/>
        <w:ind/>
        <w:rPr/>
      </w:pPr>
      <w:r>
        <w:t xml:space="preserve">- يمكنك تحديد لغتك وعملتك وبلدك في "ملفك الشخصي". تُستخدم هذه الإعدادات فقط لعرض واجهة التطبيق والأسعار، ولا تُغير أساس العقد أو عملة التسوية.</w:t>
      </w:r>
      <w:r/>
    </w:p>
    <w:p w14:paraId="0F3CC1FC">
      <w:pPr>
        <w:pBdr/>
        <w:spacing/>
        <w:ind/>
        <w:rPr/>
      </w:pPr>
      <w:r/>
      <w:r/>
    </w:p>
    <w:p w14:paraId="1DA389AF">
      <w:pPr>
        <w:pBdr/>
        <w:spacing/>
        <w:ind/>
        <w:rPr/>
      </w:pPr>
      <w:r/>
      <w:r/>
    </w:p>
    <w:p w14:paraId="20E99C64">
      <w:pPr>
        <w:pBdr/>
        <w:spacing/>
        <w:ind/>
        <w:rPr/>
      </w:pPr>
      <w:r/>
      <w:r/>
    </w:p>
    <w:p w14:paraId="0538EA70">
      <w:pPr>
        <w:pBdr/>
        <w:spacing/>
        <w:ind/>
        <w:rPr/>
      </w:pPr>
      <w:r>
        <w:t xml:space="preserve">- تشمل طرق تسجيل الدخول كلمة مرور البريد الإلكتروني وتسجيل الدخول عبر Apple (يُستخدم تسجيل الدخول عبر Apple للتحقق من الحساب ولا يسترجع عنوان بريدك الإلكتروني بالكامل تلقائيًا).</w:t>
      </w:r>
      <w:r/>
    </w:p>
    <w:p w14:paraId="7274B2AF">
      <w:pPr>
        <w:pBdr/>
        <w:spacing/>
        <w:ind/>
        <w:rPr/>
      </w:pPr>
      <w:r/>
      <w:r/>
    </w:p>
    <w:p w14:paraId="6D719334">
      <w:pPr>
        <w:pBdr/>
        <w:spacing/>
        <w:ind/>
        <w:rPr/>
      </w:pPr>
      <w:r/>
      <w:r/>
    </w:p>
    <w:p w14:paraId="63BB32F9">
      <w:pPr>
        <w:pBdr/>
        <w:spacing/>
        <w:ind/>
        <w:rPr/>
      </w:pPr>
      <w:r>
        <w:t xml:space="preserve">4. الاعتماد على جهات خارجية</w:t>
      </w:r>
      <w:r/>
    </w:p>
    <w:p w14:paraId="3F26C063">
      <w:pPr>
        <w:pBdr/>
        <w:spacing/>
        <w:ind/>
        <w:rPr/>
      </w:pPr>
      <w:r/>
      <w:r/>
    </w:p>
    <w:p w14:paraId="57640017">
      <w:pPr>
        <w:pBdr/>
        <w:spacing/>
        <w:ind/>
        <w:rPr/>
      </w:pPr>
      <w:r>
        <w:t xml:space="preserve">- لإتمام الطلبات والمدفوعات، نتواصل مع الموردين وبوابات الدفع؛ وتتولى بوابة الدفع إدارة تفاصيل الدفع، ولا نقوم بتخزين أرقام البطاقات الكاملة أو رموز التحقق من البطاقة (CVV).</w:t>
      </w:r>
      <w:r/>
    </w:p>
    <w:p w14:paraId="57F8167F">
      <w:pPr>
        <w:pBdr/>
        <w:spacing/>
        <w:ind/>
        <w:rPr/>
      </w:pPr>
      <w:r/>
      <w:r/>
    </w:p>
    <w:p w14:paraId="6D6866DB">
      <w:pPr>
        <w:pBdr/>
        <w:spacing/>
        <w:ind/>
        <w:rPr/>
      </w:pPr>
      <w:r/>
      <w:r/>
    </w:p>
    <w:p w14:paraId="3D4FC60F">
      <w:pPr>
        <w:pBdr/>
        <w:spacing/>
        <w:ind/>
        <w:rPr/>
      </w:pPr>
      <w:r>
        <w:t xml:space="preserve">- في حال تفعيل بوابة البريد الإلكتروني، سيتم إرسال رابط إعادة تعيين كلمة المرور أو رمز التحقق عبر البريد الإلكتروني لأغراض أمان الحساب والتحقق منه.</w:t>
      </w:r>
      <w:r/>
    </w:p>
    <w:p w14:paraId="44D09129">
      <w:pPr>
        <w:pBdr/>
        <w:spacing/>
        <w:ind/>
        <w:rPr/>
      </w:pPr>
      <w:r/>
      <w:r/>
    </w:p>
    <w:p w14:paraId="11CC7DD0">
      <w:pPr>
        <w:pBdr/>
        <w:spacing/>
        <w:ind/>
        <w:rPr/>
      </w:pPr>
      <w:r/>
      <w:r/>
    </w:p>
    <w:p w14:paraId="2E1392F6">
      <w:pPr>
        <w:pBdr/>
        <w:spacing/>
        <w:ind/>
        <w:rPr/>
      </w:pPr>
      <w:r>
        <w:t xml:space="preserve">5. التحقق من الهوية والامتثال (eKYC)</w:t>
      </w:r>
      <w:r/>
    </w:p>
    <w:p w14:paraId="7BD43088">
      <w:pPr>
        <w:pBdr/>
        <w:spacing/>
        <w:ind/>
        <w:rPr/>
      </w:pPr>
      <w:r/>
      <w:r/>
    </w:p>
    <w:p w14:paraId="180EB29B">
      <w:pPr>
        <w:pBdr/>
        <w:spacing/>
        <w:ind/>
        <w:rPr/>
      </w:pPr>
      <w:r>
        <w:t xml:space="preserve">- وفقًا لمتطلبات الامتثال أو قواعد الموردين/بوابات الدفع، قد تتطلب بعض المناطق أو الحالات التحقق الإلكتروني من الهوية (eKYC) قبل شراء أو استلام أو استخدام باقات eSIM ذات الصلة؛ يُرجى مراجعة التنبيهات داخل التطبيق والسياسات المعمول بها لمزيد من التفاصيل.</w:t>
      </w:r>
      <w:r/>
    </w:p>
    <w:p w14:paraId="04C669CE">
      <w:pPr>
        <w:pBdr/>
        <w:spacing/>
        <w:ind/>
        <w:rPr/>
      </w:pPr>
      <w:r/>
      <w:r/>
    </w:p>
    <w:p w14:paraId="016F3C3B">
      <w:pPr>
        <w:pBdr/>
        <w:spacing/>
        <w:ind/>
        <w:rPr/>
      </w:pPr>
      <w:r/>
      <w:r/>
    </w:p>
    <w:p w14:paraId="7CA50BF2">
      <w:pPr>
        <w:pBdr/>
        <w:spacing/>
        <w:ind/>
        <w:rPr/>
      </w:pPr>
      <w:r>
        <w:t xml:space="preserve">6. تحديثات الشروط</w:t>
      </w:r>
      <w:r/>
    </w:p>
    <w:p w14:paraId="4810516B">
      <w:pPr>
        <w:pBdr/>
        <w:spacing/>
        <w:ind/>
        <w:rPr/>
      </w:pPr>
      <w:r/>
      <w:r/>
    </w:p>
    <w:p w14:paraId="3A3EF21D">
      <w:pPr>
        <w:pBdr/>
        <w:spacing/>
        <w:ind/>
        <w:rPr/>
      </w:pPr>
      <w:r>
        <w:t xml:space="preserve">- سنقوم بتحديث هذه الشروط وفقًا لمتطلبات التشغيل والامتثال؛ وسيتم توضيح التغييرات الهامة في صفحة "مزيد من المعلومات" داخل التطبيق. يُعتدّ بأحدث نسخة معروضة في التطبيق.</w:t>
      </w:r>
      <w:r/>
    </w:p>
    <w:p w14:paraId="420E3D60">
      <w:pPr>
        <w:pBdr/>
        <w:spacing/>
        <w:ind/>
        <w:rPr/>
      </w:pPr>
      <w:r/>
      <w:r/>
    </w:p>
    <w:p w14:paraId="50FCB451">
      <w:pPr>
        <w:pBdr/>
        <w:spacing/>
        <w:ind/>
        <w:rPr/>
      </w:pPr>
      <w:r>
        <w:t xml:space="preserve">7. اللغة والتعارضات</w:t>
      </w:r>
      <w:r/>
    </w:p>
    <w:p w14:paraId="7CFA21DC">
      <w:pPr>
        <w:pBdr/>
        <w:spacing/>
        <w:ind/>
        <w:rPr/>
      </w:pPr>
      <w:r/>
      <w:r/>
    </w:p>
    <w:p w14:paraId="05AC8553">
      <w:pPr>
        <w:pBdr/>
        <w:spacing/>
        <w:ind/>
        <w:rPr/>
      </w:pPr>
      <w:r>
        <w:t xml:space="preserve">- هذه الشروط متوفرة بلغات متعددة؛ في حال وجود أي اختلاف، يُعتدّ بالنسخة الصينية المبسطة أو النسخة الأكثر صرامة.</w:t>
      </w:r>
      <w:r/>
    </w:p>
    <w:p w14:paraId="2785EEBD">
      <w:pPr>
        <w:pBdr/>
        <w:spacing/>
        <w:ind/>
        <w:rPr/>
      </w:pPr>
      <w:r/>
      <w:r/>
    </w:p>
    <w:p w14:paraId="68C90395">
      <w:pPr>
        <w:pBdr/>
        <w:spacing/>
        <w:ind/>
        <w:rPr/>
      </w:pPr>
      <w:r>
        <w:t xml:space="preserve">8. تواصل معنا</w:t>
      </w:r>
      <w:r/>
    </w:p>
    <w:p w14:paraId="557D8834">
      <w:pPr>
        <w:pBdr/>
        <w:spacing/>
        <w:ind/>
        <w:rPr/>
      </w:pPr>
      <w:r/>
      <w:r/>
    </w:p>
    <w:p w14:paraId="0B6CAF40">
      <w:pPr>
        <w:pBdr/>
        <w:spacing/>
        <w:ind/>
        <w:rPr/>
      </w:pPr>
      <w:r>
        <w:t xml:space="preserve">- البريد الإلكتروني للدعم: @esim.fit</w:t>
      </w:r>
      <w:r/>
      <w: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ans-serif">
    <w:panose1 w:val="05040102010807070707"/>
  </w:font>
  <w:font w:name="Symbol">
    <w:panose1 w:val="05010000000000000000"/>
  </w:font>
  <w:font w:name="宋体">
    <w:panose1 w:val="0201060004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FEE01E9"/>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2"/>
    <w:basedOn w:val="885"/>
    <w:next w:val="885"/>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0">
    <w:name w:val="Heading 4"/>
    <w:basedOn w:val="885"/>
    <w:next w:val="885"/>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5"/>
    <w:next w:val="885"/>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5"/>
    <w:next w:val="885"/>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5"/>
    <w:next w:val="885"/>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5"/>
    <w:next w:val="885"/>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5"/>
    <w:next w:val="885"/>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6" w:default="1">
    <w:name w:val="No List"/>
    <w:uiPriority w:val="99"/>
    <w:semiHidden/>
    <w:unhideWhenUsed/>
    <w:pPr>
      <w:pBdr/>
      <w:spacing/>
      <w:ind/>
    </w:pPr>
  </w:style>
  <w:style w:type="character" w:styleId="837">
    <w:name w:val="Heading 1 Char"/>
    <w:basedOn w:val="888"/>
    <w:link w:val="886"/>
    <w:uiPriority w:val="9"/>
    <w:pPr>
      <w:pBdr/>
      <w:spacing/>
      <w:ind/>
    </w:pPr>
    <w:rPr>
      <w:rFonts w:ascii="Arial" w:hAnsi="Arial" w:eastAsia="Arial" w:cs="Arial"/>
      <w:color w:val="0f4761" w:themeColor="accent1" w:themeShade="BF"/>
      <w:sz w:val="40"/>
      <w:szCs w:val="40"/>
    </w:rPr>
  </w:style>
  <w:style w:type="character" w:styleId="838">
    <w:name w:val="Heading 2 Char"/>
    <w:basedOn w:val="888"/>
    <w:link w:val="829"/>
    <w:uiPriority w:val="9"/>
    <w:pPr>
      <w:pBdr/>
      <w:spacing/>
      <w:ind/>
    </w:pPr>
    <w:rPr>
      <w:rFonts w:ascii="Arial" w:hAnsi="Arial" w:eastAsia="Arial" w:cs="Arial"/>
      <w:color w:val="0f4761" w:themeColor="accent1" w:themeShade="BF"/>
      <w:sz w:val="32"/>
      <w:szCs w:val="32"/>
    </w:rPr>
  </w:style>
  <w:style w:type="character" w:styleId="839">
    <w:name w:val="Heading 3 Char"/>
    <w:basedOn w:val="888"/>
    <w:link w:val="887"/>
    <w:uiPriority w:val="9"/>
    <w:pPr>
      <w:pBdr/>
      <w:spacing/>
      <w:ind/>
    </w:pPr>
    <w:rPr>
      <w:rFonts w:ascii="Arial" w:hAnsi="Arial" w:eastAsia="Arial" w:cs="Arial"/>
      <w:color w:val="0f4761" w:themeColor="accent1" w:themeShade="BF"/>
      <w:sz w:val="28"/>
      <w:szCs w:val="28"/>
    </w:rPr>
  </w:style>
  <w:style w:type="character" w:styleId="840">
    <w:name w:val="Heading 4 Char"/>
    <w:basedOn w:val="888"/>
    <w:link w:val="830"/>
    <w:uiPriority w:val="9"/>
    <w:pPr>
      <w:pBdr/>
      <w:spacing/>
      <w:ind/>
    </w:pPr>
    <w:rPr>
      <w:rFonts w:ascii="Arial" w:hAnsi="Arial" w:eastAsia="Arial" w:cs="Arial"/>
      <w:i/>
      <w:iCs/>
      <w:color w:val="0f4761" w:themeColor="accent1" w:themeShade="BF"/>
    </w:rPr>
  </w:style>
  <w:style w:type="character" w:styleId="841">
    <w:name w:val="Heading 5 Char"/>
    <w:basedOn w:val="888"/>
    <w:link w:val="831"/>
    <w:uiPriority w:val="9"/>
    <w:pPr>
      <w:pBdr/>
      <w:spacing/>
      <w:ind/>
    </w:pPr>
    <w:rPr>
      <w:rFonts w:ascii="Arial" w:hAnsi="Arial" w:eastAsia="Arial" w:cs="Arial"/>
      <w:color w:val="0f4761" w:themeColor="accent1" w:themeShade="BF"/>
    </w:rPr>
  </w:style>
  <w:style w:type="character" w:styleId="842">
    <w:name w:val="Heading 6 Char"/>
    <w:basedOn w:val="888"/>
    <w:link w:val="832"/>
    <w:uiPriority w:val="9"/>
    <w:pPr>
      <w:pBdr/>
      <w:spacing/>
      <w:ind/>
    </w:pPr>
    <w:rPr>
      <w:rFonts w:ascii="Arial" w:hAnsi="Arial" w:eastAsia="Arial" w:cs="Arial"/>
      <w:i/>
      <w:iCs/>
      <w:color w:val="595959" w:themeColor="text1" w:themeTint="A6"/>
    </w:rPr>
  </w:style>
  <w:style w:type="character" w:styleId="843">
    <w:name w:val="Heading 7 Char"/>
    <w:basedOn w:val="888"/>
    <w:link w:val="833"/>
    <w:uiPriority w:val="9"/>
    <w:pPr>
      <w:pBdr/>
      <w:spacing/>
      <w:ind/>
    </w:pPr>
    <w:rPr>
      <w:rFonts w:ascii="Arial" w:hAnsi="Arial" w:eastAsia="Arial" w:cs="Arial"/>
      <w:color w:val="595959" w:themeColor="text1" w:themeTint="A6"/>
    </w:rPr>
  </w:style>
  <w:style w:type="character" w:styleId="844">
    <w:name w:val="Heading 8 Char"/>
    <w:basedOn w:val="888"/>
    <w:link w:val="834"/>
    <w:uiPriority w:val="9"/>
    <w:pPr>
      <w:pBdr/>
      <w:spacing/>
      <w:ind/>
    </w:pPr>
    <w:rPr>
      <w:rFonts w:ascii="Arial" w:hAnsi="Arial" w:eastAsia="Arial" w:cs="Arial"/>
      <w:i/>
      <w:iCs/>
      <w:color w:val="272727" w:themeColor="text1" w:themeTint="D8"/>
    </w:rPr>
  </w:style>
  <w:style w:type="character" w:styleId="845">
    <w:name w:val="Heading 9 Char"/>
    <w:basedOn w:val="888"/>
    <w:link w:val="835"/>
    <w:uiPriority w:val="9"/>
    <w:pPr>
      <w:pBdr/>
      <w:spacing/>
      <w:ind/>
    </w:pPr>
    <w:rPr>
      <w:rFonts w:ascii="Arial" w:hAnsi="Arial" w:eastAsia="Arial" w:cs="Arial"/>
      <w:i/>
      <w:iCs/>
      <w:color w:val="272727" w:themeColor="text1" w:themeTint="D8"/>
    </w:rPr>
  </w:style>
  <w:style w:type="paragraph" w:styleId="846">
    <w:name w:val="Title"/>
    <w:basedOn w:val="885"/>
    <w:next w:val="885"/>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88"/>
    <w:link w:val="846"/>
    <w:uiPriority w:val="10"/>
    <w:pPr>
      <w:pBdr/>
      <w:spacing/>
      <w:ind/>
    </w:pPr>
    <w:rPr>
      <w:rFonts w:ascii="Arial" w:hAnsi="Arial" w:eastAsia="Arial" w:cs="Arial"/>
      <w:spacing w:val="-10"/>
      <w:sz w:val="56"/>
      <w:szCs w:val="56"/>
    </w:rPr>
  </w:style>
  <w:style w:type="paragraph" w:styleId="848">
    <w:name w:val="Subtitle"/>
    <w:basedOn w:val="885"/>
    <w:next w:val="885"/>
    <w:link w:val="849"/>
    <w:uiPriority w:val="11"/>
    <w:qFormat/>
    <w:pPr>
      <w:numPr>
        <w:ilvl w:val="1"/>
      </w:numPr>
      <w:pBdr/>
      <w:spacing/>
      <w:ind/>
    </w:pPr>
    <w:rPr>
      <w:color w:val="595959" w:themeColor="text1" w:themeTint="A6"/>
      <w:spacing w:val="15"/>
      <w:sz w:val="28"/>
      <w:szCs w:val="28"/>
    </w:rPr>
  </w:style>
  <w:style w:type="character" w:styleId="849">
    <w:name w:val="Subtitle Char"/>
    <w:basedOn w:val="888"/>
    <w:link w:val="848"/>
    <w:uiPriority w:val="11"/>
    <w:pPr>
      <w:pBdr/>
      <w:spacing/>
      <w:ind/>
    </w:pPr>
    <w:rPr>
      <w:color w:val="595959" w:themeColor="text1" w:themeTint="A6"/>
      <w:spacing w:val="15"/>
      <w:sz w:val="28"/>
      <w:szCs w:val="28"/>
    </w:rPr>
  </w:style>
  <w:style w:type="paragraph" w:styleId="850">
    <w:name w:val="Quote"/>
    <w:basedOn w:val="885"/>
    <w:next w:val="885"/>
    <w:link w:val="851"/>
    <w:uiPriority w:val="29"/>
    <w:qFormat/>
    <w:pPr>
      <w:pBdr/>
      <w:spacing w:before="160"/>
      <w:ind/>
      <w:jc w:val="center"/>
    </w:pPr>
    <w:rPr>
      <w:i/>
      <w:iCs/>
      <w:color w:val="404040" w:themeColor="text1" w:themeTint="BF"/>
    </w:rPr>
  </w:style>
  <w:style w:type="character" w:styleId="851">
    <w:name w:val="Quote Char"/>
    <w:basedOn w:val="888"/>
    <w:link w:val="850"/>
    <w:uiPriority w:val="29"/>
    <w:pPr>
      <w:pBdr/>
      <w:spacing/>
      <w:ind/>
    </w:pPr>
    <w:rPr>
      <w:i/>
      <w:iCs/>
      <w:color w:val="404040" w:themeColor="text1" w:themeTint="BF"/>
    </w:rPr>
  </w:style>
  <w:style w:type="paragraph" w:styleId="852">
    <w:name w:val="List Paragraph"/>
    <w:basedOn w:val="885"/>
    <w:uiPriority w:val="34"/>
    <w:qFormat/>
    <w:pPr>
      <w:pBdr/>
      <w:spacing/>
      <w:ind w:left="720"/>
      <w:contextualSpacing w:val="true"/>
    </w:pPr>
  </w:style>
  <w:style w:type="character" w:styleId="853">
    <w:name w:val="Intense Emphasis"/>
    <w:basedOn w:val="888"/>
    <w:uiPriority w:val="21"/>
    <w:qFormat/>
    <w:pPr>
      <w:pBdr/>
      <w:spacing/>
      <w:ind/>
    </w:pPr>
    <w:rPr>
      <w:i/>
      <w:iCs/>
      <w:color w:val="0f4761" w:themeColor="accent1" w:themeShade="BF"/>
    </w:rPr>
  </w:style>
  <w:style w:type="paragraph" w:styleId="854">
    <w:name w:val="Intense Quote"/>
    <w:basedOn w:val="885"/>
    <w:next w:val="885"/>
    <w:link w:val="85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5">
    <w:name w:val="Intense Quote Char"/>
    <w:basedOn w:val="888"/>
    <w:link w:val="854"/>
    <w:uiPriority w:val="30"/>
    <w:pPr>
      <w:pBdr/>
      <w:spacing/>
      <w:ind/>
    </w:pPr>
    <w:rPr>
      <w:i/>
      <w:iCs/>
      <w:color w:val="0f4761" w:themeColor="accent1" w:themeShade="BF"/>
    </w:rPr>
  </w:style>
  <w:style w:type="character" w:styleId="856">
    <w:name w:val="Intense Reference"/>
    <w:basedOn w:val="888"/>
    <w:uiPriority w:val="32"/>
    <w:qFormat/>
    <w:pPr>
      <w:pBdr/>
      <w:spacing/>
      <w:ind/>
    </w:pPr>
    <w:rPr>
      <w:b/>
      <w:bCs/>
      <w:smallCaps/>
      <w:color w:val="0f4761" w:themeColor="accent1" w:themeShade="BF"/>
      <w:spacing w:val="5"/>
    </w:rPr>
  </w:style>
  <w:style w:type="paragraph" w:styleId="857">
    <w:name w:val="No Spacing"/>
    <w:basedOn w:val="885"/>
    <w:uiPriority w:val="1"/>
    <w:qFormat/>
    <w:pPr>
      <w:pBdr/>
      <w:spacing w:after="0" w:line="240" w:lineRule="auto"/>
      <w:ind/>
    </w:pPr>
  </w:style>
  <w:style w:type="character" w:styleId="858">
    <w:name w:val="Subtle Emphasis"/>
    <w:basedOn w:val="888"/>
    <w:uiPriority w:val="19"/>
    <w:qFormat/>
    <w:pPr>
      <w:pBdr/>
      <w:spacing/>
      <w:ind/>
    </w:pPr>
    <w:rPr>
      <w:i/>
      <w:iCs/>
      <w:color w:val="404040" w:themeColor="text1" w:themeTint="BF"/>
    </w:rPr>
  </w:style>
  <w:style w:type="character" w:styleId="859">
    <w:name w:val="Subtle Reference"/>
    <w:basedOn w:val="888"/>
    <w:uiPriority w:val="31"/>
    <w:qFormat/>
    <w:pPr>
      <w:pBdr/>
      <w:spacing/>
      <w:ind/>
    </w:pPr>
    <w:rPr>
      <w:smallCaps/>
      <w:color w:val="5a5a5a" w:themeColor="text1" w:themeTint="A5"/>
    </w:rPr>
  </w:style>
  <w:style w:type="character" w:styleId="860">
    <w:name w:val="Book Title"/>
    <w:basedOn w:val="888"/>
    <w:uiPriority w:val="33"/>
    <w:qFormat/>
    <w:pPr>
      <w:pBdr/>
      <w:spacing/>
      <w:ind/>
    </w:pPr>
    <w:rPr>
      <w:b/>
      <w:bCs/>
      <w:i/>
      <w:iCs/>
      <w:spacing w:val="5"/>
    </w:rPr>
  </w:style>
  <w:style w:type="paragraph" w:styleId="861">
    <w:name w:val="Header"/>
    <w:basedOn w:val="885"/>
    <w:link w:val="862"/>
    <w:uiPriority w:val="99"/>
    <w:unhideWhenUsed/>
    <w:pPr>
      <w:pBdr/>
      <w:tabs>
        <w:tab w:val="center" w:leader="none" w:pos="4844"/>
        <w:tab w:val="right" w:leader="none" w:pos="9689"/>
      </w:tabs>
      <w:spacing w:after="0" w:line="240" w:lineRule="auto"/>
      <w:ind/>
    </w:pPr>
  </w:style>
  <w:style w:type="character" w:styleId="862">
    <w:name w:val="Header Char"/>
    <w:basedOn w:val="888"/>
    <w:link w:val="861"/>
    <w:uiPriority w:val="99"/>
    <w:pPr>
      <w:pBdr/>
      <w:spacing/>
      <w:ind/>
    </w:pPr>
  </w:style>
  <w:style w:type="paragraph" w:styleId="863">
    <w:name w:val="Footer"/>
    <w:basedOn w:val="885"/>
    <w:link w:val="864"/>
    <w:uiPriority w:val="99"/>
    <w:unhideWhenUsed/>
    <w:pPr>
      <w:pBdr/>
      <w:tabs>
        <w:tab w:val="center" w:leader="none" w:pos="4844"/>
        <w:tab w:val="right" w:leader="none" w:pos="9689"/>
      </w:tabs>
      <w:spacing w:after="0" w:line="240" w:lineRule="auto"/>
      <w:ind/>
    </w:pPr>
  </w:style>
  <w:style w:type="character" w:styleId="864">
    <w:name w:val="Footer Char"/>
    <w:basedOn w:val="888"/>
    <w:link w:val="863"/>
    <w:uiPriority w:val="99"/>
    <w:pPr>
      <w:pBdr/>
      <w:spacing/>
      <w:ind/>
    </w:pPr>
  </w:style>
  <w:style w:type="paragraph" w:styleId="865">
    <w:name w:val="Caption"/>
    <w:basedOn w:val="885"/>
    <w:next w:val="885"/>
    <w:uiPriority w:val="35"/>
    <w:unhideWhenUsed/>
    <w:qFormat/>
    <w:pPr>
      <w:pBdr/>
      <w:spacing w:after="200" w:line="240" w:lineRule="auto"/>
      <w:ind/>
    </w:pPr>
    <w:rPr>
      <w:i/>
      <w:iCs/>
      <w:color w:val="0e2841" w:themeColor="text2"/>
      <w:sz w:val="18"/>
      <w:szCs w:val="18"/>
    </w:rPr>
  </w:style>
  <w:style w:type="paragraph" w:styleId="866">
    <w:name w:val="footnote text"/>
    <w:basedOn w:val="885"/>
    <w:link w:val="867"/>
    <w:uiPriority w:val="99"/>
    <w:semiHidden/>
    <w:unhideWhenUsed/>
    <w:pPr>
      <w:pBdr/>
      <w:spacing w:after="0" w:line="240" w:lineRule="auto"/>
      <w:ind/>
    </w:pPr>
    <w:rPr>
      <w:sz w:val="20"/>
      <w:szCs w:val="20"/>
    </w:rPr>
  </w:style>
  <w:style w:type="character" w:styleId="867">
    <w:name w:val="Footnote Text Char"/>
    <w:basedOn w:val="888"/>
    <w:link w:val="866"/>
    <w:uiPriority w:val="99"/>
    <w:semiHidden/>
    <w:pPr>
      <w:pBdr/>
      <w:spacing/>
      <w:ind/>
    </w:pPr>
    <w:rPr>
      <w:sz w:val="20"/>
      <w:szCs w:val="20"/>
    </w:rPr>
  </w:style>
  <w:style w:type="character" w:styleId="868">
    <w:name w:val="footnote reference"/>
    <w:basedOn w:val="888"/>
    <w:uiPriority w:val="99"/>
    <w:semiHidden/>
    <w:unhideWhenUsed/>
    <w:pPr>
      <w:pBdr/>
      <w:spacing/>
      <w:ind/>
    </w:pPr>
    <w:rPr>
      <w:vertAlign w:val="superscript"/>
    </w:rPr>
  </w:style>
  <w:style w:type="paragraph" w:styleId="869">
    <w:name w:val="endnote text"/>
    <w:basedOn w:val="885"/>
    <w:link w:val="870"/>
    <w:uiPriority w:val="99"/>
    <w:semiHidden/>
    <w:unhideWhenUsed/>
    <w:pPr>
      <w:pBdr/>
      <w:spacing w:after="0" w:line="240" w:lineRule="auto"/>
      <w:ind/>
    </w:pPr>
    <w:rPr>
      <w:sz w:val="20"/>
      <w:szCs w:val="20"/>
    </w:rPr>
  </w:style>
  <w:style w:type="character" w:styleId="870">
    <w:name w:val="Endnote Text Char"/>
    <w:basedOn w:val="888"/>
    <w:link w:val="869"/>
    <w:uiPriority w:val="99"/>
    <w:semiHidden/>
    <w:pPr>
      <w:pBdr/>
      <w:spacing/>
      <w:ind/>
    </w:pPr>
    <w:rPr>
      <w:sz w:val="20"/>
      <w:szCs w:val="20"/>
    </w:rPr>
  </w:style>
  <w:style w:type="character" w:styleId="871">
    <w:name w:val="endnote reference"/>
    <w:basedOn w:val="888"/>
    <w:uiPriority w:val="99"/>
    <w:semiHidden/>
    <w:unhideWhenUsed/>
    <w:pPr>
      <w:pBdr/>
      <w:spacing/>
      <w:ind/>
    </w:pPr>
    <w:rPr>
      <w:vertAlign w:val="superscript"/>
    </w:rPr>
  </w:style>
  <w:style w:type="character" w:styleId="872">
    <w:name w:val="FollowedHyperlink"/>
    <w:basedOn w:val="888"/>
    <w:uiPriority w:val="99"/>
    <w:semiHidden/>
    <w:unhideWhenUsed/>
    <w:pPr>
      <w:pBdr/>
      <w:spacing/>
      <w:ind/>
    </w:pPr>
    <w:rPr>
      <w:color w:val="954f72" w:themeColor="followedHyperlink"/>
      <w:u w:val="single"/>
    </w:rPr>
  </w:style>
  <w:style w:type="paragraph" w:styleId="873">
    <w:name w:val="toc 1"/>
    <w:basedOn w:val="885"/>
    <w:next w:val="885"/>
    <w:uiPriority w:val="39"/>
    <w:unhideWhenUsed/>
    <w:pPr>
      <w:pBdr/>
      <w:spacing w:after="100"/>
      <w:ind/>
    </w:pPr>
  </w:style>
  <w:style w:type="paragraph" w:styleId="874">
    <w:name w:val="toc 2"/>
    <w:basedOn w:val="885"/>
    <w:next w:val="885"/>
    <w:uiPriority w:val="39"/>
    <w:unhideWhenUsed/>
    <w:pPr>
      <w:pBdr/>
      <w:spacing w:after="100"/>
      <w:ind w:left="220"/>
    </w:pPr>
  </w:style>
  <w:style w:type="paragraph" w:styleId="875">
    <w:name w:val="toc 3"/>
    <w:basedOn w:val="885"/>
    <w:next w:val="885"/>
    <w:uiPriority w:val="39"/>
    <w:unhideWhenUsed/>
    <w:pPr>
      <w:pBdr/>
      <w:spacing w:after="100"/>
      <w:ind w:left="440"/>
    </w:pPr>
  </w:style>
  <w:style w:type="paragraph" w:styleId="876">
    <w:name w:val="toc 4"/>
    <w:basedOn w:val="885"/>
    <w:next w:val="885"/>
    <w:uiPriority w:val="39"/>
    <w:unhideWhenUsed/>
    <w:pPr>
      <w:pBdr/>
      <w:spacing w:after="100"/>
      <w:ind w:left="660"/>
    </w:pPr>
  </w:style>
  <w:style w:type="paragraph" w:styleId="877">
    <w:name w:val="toc 5"/>
    <w:basedOn w:val="885"/>
    <w:next w:val="885"/>
    <w:uiPriority w:val="39"/>
    <w:unhideWhenUsed/>
    <w:pPr>
      <w:pBdr/>
      <w:spacing w:after="100"/>
      <w:ind w:left="880"/>
    </w:pPr>
  </w:style>
  <w:style w:type="paragraph" w:styleId="878">
    <w:name w:val="toc 6"/>
    <w:basedOn w:val="885"/>
    <w:next w:val="885"/>
    <w:uiPriority w:val="39"/>
    <w:unhideWhenUsed/>
    <w:pPr>
      <w:pBdr/>
      <w:spacing w:after="100"/>
      <w:ind w:left="1100"/>
    </w:pPr>
  </w:style>
  <w:style w:type="paragraph" w:styleId="879">
    <w:name w:val="toc 7"/>
    <w:basedOn w:val="885"/>
    <w:next w:val="885"/>
    <w:uiPriority w:val="39"/>
    <w:unhideWhenUsed/>
    <w:pPr>
      <w:pBdr/>
      <w:spacing w:after="100"/>
      <w:ind w:left="1320"/>
    </w:pPr>
  </w:style>
  <w:style w:type="paragraph" w:styleId="880">
    <w:name w:val="toc 8"/>
    <w:basedOn w:val="885"/>
    <w:next w:val="885"/>
    <w:uiPriority w:val="39"/>
    <w:unhideWhenUsed/>
    <w:pPr>
      <w:pBdr/>
      <w:spacing w:after="100"/>
      <w:ind w:left="1540"/>
    </w:pPr>
  </w:style>
  <w:style w:type="paragraph" w:styleId="881">
    <w:name w:val="toc 9"/>
    <w:basedOn w:val="885"/>
    <w:next w:val="885"/>
    <w:uiPriority w:val="39"/>
    <w:unhideWhenUsed/>
    <w:pPr>
      <w:pBdr/>
      <w:spacing w:after="100"/>
      <w:ind w:left="1760"/>
    </w:pPr>
  </w:style>
  <w:style w:type="character" w:styleId="882">
    <w:name w:val="Placeholder Text"/>
    <w:basedOn w:val="888"/>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886">
    <w:name w:val="Heading 1"/>
    <w:basedOn w:val="885"/>
    <w:next w:val="885"/>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887">
    <w:name w:val="Heading 3"/>
    <w:basedOn w:val="885"/>
    <w:next w:val="885"/>
    <w:uiPriority w:val="0"/>
    <w:semiHidden/>
    <w:unhideWhenUsed/>
    <w:qFormat/>
    <w:pPr>
      <w:pBdr/>
      <w:spacing w:after="0" w:afterAutospacing="1" w:before="0" w:beforeAutospacing="1"/>
      <w:ind/>
      <w:jc w:val="left"/>
    </w:pPr>
    <w:rPr>
      <w:rFonts w:hint="eastAsia" w:ascii="宋体" w:hAnsi="宋体" w:eastAsia="宋体" w:cs="宋体"/>
      <w:b/>
      <w:bCs/>
      <w:sz w:val="27"/>
      <w:szCs w:val="27"/>
      <w:lang w:val="en-US" w:eastAsia="zh-CN" w:bidi="ar"/>
    </w:rPr>
  </w:style>
  <w:style w:type="character" w:styleId="888" w:default="1">
    <w:name w:val="Default Paragraph Font"/>
    <w:uiPriority w:val="0"/>
    <w:semiHidden/>
    <w:pPr>
      <w:pBdr/>
      <w:spacing/>
      <w:ind/>
    </w:pPr>
  </w:style>
  <w:style w:type="table" w:styleId="889"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0">
    <w:name w:val="Normal (Web)"/>
    <w:basedOn w:val="885"/>
    <w:uiPriority w:val="0"/>
    <w:pPr>
      <w:pBdr/>
      <w:spacing w:after="0" w:afterAutospacing="1" w:before="0" w:beforeAutospacing="1"/>
      <w:ind w:right="0" w:left="0"/>
      <w:jc w:val="left"/>
    </w:pPr>
    <w:rPr>
      <w:sz w:val="24"/>
      <w:lang w:val="en-US" w:eastAsia="zh-CN" w:bidi="ar"/>
    </w:rPr>
  </w:style>
  <w:style w:type="character" w:styleId="891">
    <w:name w:val="Strong"/>
    <w:basedOn w:val="888"/>
    <w:uiPriority w:val="0"/>
    <w:qFormat/>
    <w:pPr>
      <w:pBdr/>
      <w:spacing/>
      <w:ind/>
    </w:pPr>
    <w:rPr>
      <w:b/>
    </w:rPr>
  </w:style>
  <w:style w:type="character" w:styleId="892">
    <w:name w:val="Emphasis"/>
    <w:basedOn w:val="888"/>
    <w:uiPriority w:val="0"/>
    <w:qFormat/>
    <w:pPr>
      <w:pBdr/>
      <w:spacing/>
      <w:ind/>
    </w:pPr>
    <w:rPr>
      <w:i/>
    </w:rPr>
  </w:style>
  <w:style w:type="character" w:styleId="893">
    <w:name w:val="Hyperlink"/>
    <w:basedOn w:val="888"/>
    <w:uiPriority w:val="0"/>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3</cp:revision>
  <dcterms:created xsi:type="dcterms:W3CDTF">2025-07-30T00:14:00Z</dcterms:created>
  <dcterms:modified xsi:type="dcterms:W3CDTF">2025-12-10T06:08:26Z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