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E67A32">
      <w:pPr>
        <w:pStyle w:val="88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Condiciones Generales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5648A5E6">
      <w:pPr>
        <w:pBdr/>
        <w:spacing/>
        <w:ind/>
        <w:rPr/>
      </w:pPr>
      <w:r>
        <w:rPr>
          <w:rFonts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  <w:r/>
    </w:p>
    <w:p w14:paraId="7B8293A7">
      <w:pPr>
        <w:pBdr/>
        <w:spacing/>
        <w:ind/>
        <w:rPr/>
      </w:pPr>
      <w:r/>
      <w:r/>
    </w:p>
    <w:p w14:paraId="042A9FC4">
      <w:pPr>
        <w:pBdr/>
        <w:spacing/>
        <w:ind/>
        <w:rPr/>
      </w:pPr>
      <w:r>
        <w:t xml:space="preserve">1. Ámbito de Aplicación</w:t>
      </w:r>
      <w:r/>
    </w:p>
    <w:p w14:paraId="2953FDAD">
      <w:pPr>
        <w:pBdr/>
        <w:spacing/>
        <w:ind/>
        <w:rPr/>
      </w:pPr>
      <w:r/>
      <w:r/>
    </w:p>
    <w:p w14:paraId="1A7A666E">
      <w:pPr>
        <w:pBdr/>
        <w:spacing/>
        <w:ind/>
        <w:rPr/>
      </w:pPr>
      <w:r>
        <w:t xml:space="preserve">- Estas Condiciones Generales se aplican a la app para iOS "eSIM Home" y abarcan la cuenta, el pedido, el pago, la información de instalación y uso, el servicio de atención al cliente y soporte, y otras funciones.</w:t>
      </w:r>
      <w:r/>
    </w:p>
    <w:p w14:paraId="19B10E55">
      <w:pPr>
        <w:pBdr/>
        <w:spacing/>
        <w:ind/>
        <w:rPr/>
      </w:pPr>
      <w:r/>
      <w:r/>
    </w:p>
    <w:p w14:paraId="4DAB289C">
      <w:pPr>
        <w:pBdr/>
        <w:spacing/>
        <w:ind/>
        <w:rPr/>
      </w:pPr>
      <w:r>
        <w:t xml:space="preserve">- Algunos datos del servicio provienen de proveedores y pasarelas de pago; la cobertura y la calidad reales de la red están sujetas a las especificaciones del operador.</w:t>
      </w:r>
      <w:r/>
    </w:p>
    <w:p w14:paraId="61F7916B">
      <w:pPr>
        <w:pBdr/>
        <w:spacing/>
        <w:ind/>
        <w:rPr/>
      </w:pPr>
      <w:r/>
      <w:r/>
    </w:p>
    <w:p w14:paraId="107AB178">
      <w:pPr>
        <w:pBdr/>
        <w:spacing/>
        <w:ind/>
        <w:rPr/>
      </w:pPr>
      <w:r>
        <w:t xml:space="preserve">2. Descripción del Servicio</w:t>
      </w:r>
      <w:r/>
    </w:p>
    <w:p w14:paraId="38BCF192">
      <w:pPr>
        <w:pBdr/>
        <w:spacing/>
        <w:ind/>
        <w:rPr/>
      </w:pPr>
      <w:r/>
      <w:r/>
    </w:p>
    <w:p w14:paraId="7E3A9CAD">
      <w:pPr>
        <w:pBdr/>
        <w:spacing/>
        <w:ind/>
        <w:rPr/>
      </w:pPr>
      <w:r>
        <w:t xml:space="preserve">- Puede explorar planes de eSIM, crear pedidos y realizar pagos. Dentro de la app, puede ver la información de instalación (como SM-DP+, código de activación, código QR) y seguir las instrucciones para completar la instalación y la activación.</w:t>
      </w:r>
      <w:r/>
    </w:p>
    <w:p w14:paraId="6B726C5B">
      <w:pPr>
        <w:pBdr/>
        <w:spacing/>
        <w:ind/>
        <w:rPr/>
      </w:pPr>
      <w:r/>
      <w:r/>
    </w:p>
    <w:p w14:paraId="6BA507FD">
      <w:pPr>
        <w:pBdr/>
        <w:spacing/>
        <w:ind/>
        <w:rPr/>
      </w:pPr>
      <w:r>
        <w:t xml:space="preserve">- Las fechas de uso y caducidad son devueltas por la interfaz del proveedor y se muestran como valores de referencia; puede haber retrasos en la sincronización.</w:t>
      </w:r>
      <w:r/>
    </w:p>
    <w:p w14:paraId="2F85E95E">
      <w:pPr>
        <w:pBdr/>
        <w:spacing/>
        <w:ind/>
        <w:rPr/>
      </w:pPr>
      <w:r/>
      <w:r/>
    </w:p>
    <w:p w14:paraId="1CDFE8B1">
      <w:pPr>
        <w:pBdr/>
        <w:spacing/>
        <w:ind/>
        <w:rPr/>
      </w:pPr>
      <w:r>
        <w:t xml:space="preserve">3. Cuenta y Configuración</w:t>
      </w:r>
      <w:r/>
    </w:p>
    <w:p w14:paraId="7291D283">
      <w:pPr>
        <w:pBdr/>
        <w:spacing/>
        <w:ind/>
        <w:rPr/>
      </w:pPr>
      <w:r/>
      <w:r/>
    </w:p>
    <w:p w14:paraId="181D53EC">
      <w:pPr>
        <w:pBdr/>
        <w:spacing/>
        <w:ind/>
        <w:rPr/>
      </w:pPr>
      <w:r>
        <w:t xml:space="preserve">- Puede configurar su idioma, moneda y país en su "Perfil Personal". Estos ajustes solo se utilizan para la interfaz y la visualización de precios, y no modifican la base del contrato ni la moneda de pago.</w:t>
      </w:r>
      <w:r/>
    </w:p>
    <w:p w14:paraId="2BA0C182">
      <w:pPr>
        <w:pBdr/>
        <w:spacing/>
        <w:ind/>
        <w:rPr/>
      </w:pPr>
      <w:r/>
      <w:r/>
    </w:p>
    <w:p w14:paraId="18AA5656">
      <w:pPr>
        <w:pBdr/>
        <w:spacing/>
        <w:ind/>
        <w:rPr/>
      </w:pPr>
      <w:r>
        <w:t xml:space="preserve">Los métodos de inicio de sesión incluyen la contraseña de correo electrónico y el inicio de sesión de Apple (el inicio de sesión de Apple se utiliza para identificar la cuenta y no recupera automáticamente su dirección de correo electrónico completa).</w:t>
      </w:r>
      <w:r/>
    </w:p>
    <w:p w14:paraId="3E5CB91A">
      <w:pPr>
        <w:pBdr/>
        <w:spacing/>
        <w:ind/>
        <w:rPr/>
      </w:pPr>
      <w:r/>
      <w:r/>
    </w:p>
    <w:p w14:paraId="6282C788">
      <w:pPr>
        <w:pBdr/>
        <w:spacing/>
        <w:ind/>
        <w:rPr/>
      </w:pPr>
      <w:r>
        <w:t xml:space="preserve">4. Dependencias de terceros</w:t>
      </w:r>
      <w:r/>
    </w:p>
    <w:p w14:paraId="05A7FDB2">
      <w:pPr>
        <w:pBdr/>
        <w:spacing/>
        <w:ind/>
        <w:rPr/>
      </w:pPr>
      <w:r/>
      <w:r/>
    </w:p>
    <w:p w14:paraId="35EF0AA5">
      <w:pPr>
        <w:pBdr/>
        <w:spacing/>
        <w:ind/>
        <w:rPr/>
      </w:pPr>
      <w:r>
        <w:t xml:space="preserve">Para completar pedidos y pagos, interactuamos con proveedores y pasarelas de pago. La pasarela gestiona los detalles de pago y no almacenamos números de tarjeta completos ni CVV.</w:t>
      </w:r>
      <w:r/>
    </w:p>
    <w:p w14:paraId="65EAAFAB">
      <w:pPr>
        <w:pBdr/>
        <w:spacing/>
        <w:ind/>
        <w:rPr/>
      </w:pPr>
      <w:r/>
      <w:r/>
    </w:p>
    <w:p w14:paraId="5527960A">
      <w:pPr>
        <w:pBdr/>
        <w:spacing/>
        <w:ind/>
        <w:rPr/>
      </w:pPr>
      <w:r>
        <w:t xml:space="preserve">Si se habilita una pasarela de correo electrónico, se enviará un enlace para restablecer la contraseña o un código de verificación por correo electrónico para la seguridad y verificación de la cuenta.</w:t>
      </w:r>
      <w:r/>
    </w:p>
    <w:p w14:paraId="2733342F">
      <w:pPr>
        <w:pBdr/>
        <w:spacing/>
        <w:ind/>
        <w:rPr/>
      </w:pPr>
      <w:r/>
      <w:r/>
    </w:p>
    <w:p w14:paraId="11C93AC7">
      <w:pPr>
        <w:pBdr/>
        <w:spacing/>
        <w:ind/>
        <w:rPr/>
      </w:pPr>
      <w:r>
        <w:t xml:space="preserve">5. Verificación de identidad y cumplimiento (eKYC)</w:t>
      </w:r>
      <w:r/>
    </w:p>
    <w:p w14:paraId="7FA22A92">
      <w:pPr>
        <w:pBdr/>
        <w:spacing/>
        <w:ind/>
        <w:rPr/>
      </w:pPr>
      <w:r/>
      <w:r/>
    </w:p>
    <w:p w14:paraId="67FDEB13">
      <w:pPr>
        <w:pBdr/>
        <w:spacing/>
        <w:ind/>
        <w:rPr/>
      </w:pPr>
      <w:r>
        <w:t xml:space="preserve">De acuerdo con los requisitos de cumplimiento o las normas de los proveedores o pasarelas de pago, algunas regiones o situaciones pueden requerir eKYC (verificación electrónica de identidad) antes de comprar, recibir o usar paquetes de eSIM relacionados. Co</w:t>
      </w:r>
      <w:r>
        <w:t xml:space="preserve">nsulte las instrucciones de la aplicación y las políticas aplicables para obtener más información.</w:t>
      </w:r>
      <w:r/>
    </w:p>
    <w:p w14:paraId="25CCA67B">
      <w:pPr>
        <w:pBdr/>
        <w:spacing/>
        <w:ind/>
        <w:rPr/>
      </w:pPr>
      <w:r/>
      <w:r/>
    </w:p>
    <w:p w14:paraId="74C0C16D">
      <w:pPr>
        <w:pBdr/>
        <w:spacing/>
        <w:ind/>
        <w:rPr/>
      </w:pPr>
      <w:r>
        <w:t xml:space="preserve">6. Actualización de las condiciones</w:t>
      </w:r>
      <w:r/>
    </w:p>
    <w:p w14:paraId="4733B22C">
      <w:pPr>
        <w:pBdr/>
        <w:spacing/>
        <w:ind/>
        <w:rPr/>
      </w:pPr>
      <w:r/>
      <w:r/>
    </w:p>
    <w:p w14:paraId="23A52620">
      <w:pPr>
        <w:pBdr/>
        <w:spacing/>
        <w:ind/>
        <w:rPr/>
      </w:pPr>
      <w:r>
        <w:t xml:space="preserve">Actualizaremos estas condiciones según los requisitos funcionales y de cumplimiento. Los cambios significativos se indicarán en la página "Más información" de la aplicación. La última versión que se muestre en la aplicación prevalecerá. 7. Idioma y Conflict</w:t>
      </w:r>
      <w:r>
        <w:t xml:space="preserve">os</w:t>
      </w:r>
      <w:r/>
    </w:p>
    <w:p w14:paraId="587B6079">
      <w:pPr>
        <w:pBdr/>
        <w:spacing/>
        <w:ind/>
        <w:rPr/>
      </w:pPr>
      <w:r/>
      <w:r/>
    </w:p>
    <w:p w14:paraId="7917B505">
      <w:pPr>
        <w:pBdr/>
        <w:spacing/>
        <w:ind/>
        <w:rPr/>
      </w:pPr>
      <w:r>
        <w:t xml:space="preserve">- Estos términos están disponibles en varios idiomas. En caso de discrepancia, prevalecerá la versión en chino simplificado o una versión más estricta.</w:t>
      </w:r>
      <w:r/>
    </w:p>
    <w:p w14:paraId="4B4846D4">
      <w:pPr>
        <w:pBdr/>
        <w:spacing/>
        <w:ind/>
        <w:rPr/>
      </w:pPr>
      <w:r/>
      <w:r/>
    </w:p>
    <w:p w14:paraId="6428DCAC">
      <w:pPr>
        <w:pBdr/>
        <w:spacing/>
        <w:ind/>
        <w:rPr/>
      </w:pPr>
      <w:r>
        <w:t xml:space="preserve">8. Contáctanos</w:t>
      </w:r>
      <w:r/>
    </w:p>
    <w:p w14:paraId="1427D776">
      <w:pPr>
        <w:pBdr/>
        <w:spacing/>
        <w:ind/>
        <w:rPr/>
      </w:pPr>
      <w:r/>
      <w:r/>
    </w:p>
    <w:p w14:paraId="0B6CAF40">
      <w:pPr>
        <w:pBdr/>
        <w:spacing/>
        <w:ind/>
        <w:rPr/>
      </w:pPr>
      <w:r>
        <w:t xml:space="preserve">- Correo electrónico de soporte: @esim.fit</w:t>
      </w:r>
      <w:r/>
      <w:r/>
      <w:r/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ans-serif">
    <w:panose1 w:val="05040102010807070707"/>
  </w:font>
  <w:font w:name="Symbol">
    <w:panose1 w:val="05010000000000000000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AFEE01E9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2"/>
    <w:basedOn w:val="885"/>
    <w:next w:val="885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4"/>
    <w:basedOn w:val="885"/>
    <w:next w:val="885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5"/>
    <w:next w:val="885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5"/>
    <w:next w:val="885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5"/>
    <w:next w:val="885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5"/>
    <w:next w:val="885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5"/>
    <w:next w:val="885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6" w:default="1">
    <w:name w:val="No List"/>
    <w:uiPriority w:val="99"/>
    <w:semiHidden/>
    <w:unhideWhenUsed/>
    <w:pPr>
      <w:pBdr/>
      <w:spacing/>
      <w:ind/>
    </w:pPr>
  </w:style>
  <w:style w:type="character" w:styleId="837">
    <w:name w:val="Heading 1 Char"/>
    <w:basedOn w:val="888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8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88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88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8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8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88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8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88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5"/>
    <w:next w:val="885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88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5"/>
    <w:next w:val="885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88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5"/>
    <w:next w:val="885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88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5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5"/>
    <w:next w:val="885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88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5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88"/>
    <w:link w:val="861"/>
    <w:uiPriority w:val="99"/>
    <w:pPr>
      <w:pBdr/>
      <w:spacing/>
      <w:ind/>
    </w:pPr>
  </w:style>
  <w:style w:type="paragraph" w:styleId="863">
    <w:name w:val="Footer"/>
    <w:basedOn w:val="885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88"/>
    <w:link w:val="863"/>
    <w:uiPriority w:val="99"/>
    <w:pPr>
      <w:pBdr/>
      <w:spacing/>
      <w:ind/>
    </w:pPr>
  </w:style>
  <w:style w:type="paragraph" w:styleId="865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5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88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5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88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6">
    <w:name w:val="Heading 1"/>
    <w:basedOn w:val="885"/>
    <w:next w:val="885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87">
    <w:name w:val="Heading 3"/>
    <w:basedOn w:val="885"/>
    <w:next w:val="885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88" w:default="1">
    <w:name w:val="Default Paragraph Font"/>
    <w:uiPriority w:val="0"/>
    <w:semiHidden/>
    <w:pPr>
      <w:pBdr/>
      <w:spacing/>
      <w:ind/>
    </w:pPr>
  </w:style>
  <w:style w:type="table" w:styleId="889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0">
    <w:name w:val="Normal (Web)"/>
    <w:basedOn w:val="885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1">
    <w:name w:val="Strong"/>
    <w:basedOn w:val="888"/>
    <w:uiPriority w:val="0"/>
    <w:qFormat/>
    <w:pPr>
      <w:pBdr/>
      <w:spacing/>
      <w:ind/>
    </w:pPr>
    <w:rPr>
      <w:b/>
    </w:rPr>
  </w:style>
  <w:style w:type="character" w:styleId="892">
    <w:name w:val="Emphasis"/>
    <w:basedOn w:val="888"/>
    <w:uiPriority w:val="0"/>
    <w:qFormat/>
    <w:pPr>
      <w:pBdr/>
      <w:spacing/>
      <w:ind/>
    </w:pPr>
    <w:rPr>
      <w:i/>
    </w:rPr>
  </w:style>
  <w:style w:type="character" w:styleId="893">
    <w:name w:val="Hyperlink"/>
    <w:basedOn w:val="888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3</cp:revision>
  <dcterms:created xsi:type="dcterms:W3CDTF">2025-07-30T00:14:00Z</dcterms:created>
  <dcterms:modified xsi:type="dcterms:W3CDTF">2025-12-10T06:07:49Z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