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CE67A32">
      <w:pPr>
        <w:pStyle w:val="88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Ketentuan Umum</w:t>
      </w:r>
      <w:r>
        <w:rPr>
          <w:rFonts w:hint="default" w:ascii="sans-serif" w:hAnsi="sans-serif" w:eastAsia="sans-serif" w:cs="sans-serif"/>
          <w:b/>
          <w:bCs/>
        </w:rPr>
      </w:r>
      <w:r>
        <w:rPr>
          <w:rFonts w:ascii="sans-serif" w:hAnsi="sans-serif" w:eastAsia="sans-serif" w:cs="sans-serif"/>
          <w:b/>
          <w:bCs/>
        </w:rPr>
      </w:r>
    </w:p>
    <w:p w14:paraId="5648A5E6">
      <w:pPr>
        <w:pBdr/>
        <w:spacing/>
        <w:ind/>
        <w:rPr/>
      </w:pPr>
      <w:r>
        <w:rPr>
          <w:rFonts w:ascii="sans-serif" w:hAnsi="sans-serif" w:eastAsia="sans-serif" w:cs="sans-serif"/>
          <w:b/>
          <w:bCs/>
        </w:rPr>
      </w:r>
      <w:r>
        <w:rPr>
          <w:rFonts w:ascii="sans-serif" w:hAnsi="sans-serif" w:eastAsia="sans-serif" w:cs="sans-serif"/>
          <w:b/>
          <w:bCs/>
        </w:rPr>
      </w:r>
      <w:r/>
    </w:p>
    <w:p w14:paraId="44C07658">
      <w:pPr>
        <w:pBdr/>
        <w:spacing/>
        <w:ind/>
        <w:rPr/>
      </w:pPr>
      <w:r/>
      <w:r/>
    </w:p>
    <w:p w14:paraId="1965821B">
      <w:pPr>
        <w:pBdr/>
        <w:spacing/>
        <w:ind/>
        <w:rPr/>
      </w:pPr>
      <w:r>
        <w:t xml:space="preserve">1. Lingkup Aplikasi</w:t>
      </w:r>
      <w:r/>
    </w:p>
    <w:p w14:paraId="7B002F4D">
      <w:pPr>
        <w:pBdr/>
        <w:spacing/>
        <w:ind/>
        <w:rPr/>
      </w:pPr>
      <w:r/>
      <w:r/>
    </w:p>
    <w:p w14:paraId="28CFEC95">
      <w:pPr>
        <w:pBdr/>
        <w:spacing/>
        <w:ind/>
        <w:rPr/>
      </w:pPr>
      <w:r>
        <w:t xml:space="preserve">- Ketentuan Umum ini berlaku untuk aplikasi iOS "eSIM Home," yang mencakup informasi akun, pesanan, pembayaran, instalasi dan tampilan penggunaan, layanan pelanggan dan dukungan, serta fungsi lainnya.</w:t>
      </w:r>
      <w:r/>
    </w:p>
    <w:p w14:paraId="219A57E4">
      <w:pPr>
        <w:pBdr/>
        <w:spacing/>
        <w:ind/>
        <w:rPr/>
      </w:pPr>
      <w:r/>
      <w:r/>
    </w:p>
    <w:p w14:paraId="796104E0">
      <w:pPr>
        <w:pBdr/>
        <w:spacing/>
        <w:ind/>
        <w:rPr/>
      </w:pPr>
      <w:r>
        <w:t xml:space="preserve">- Beberapa data layanan bersumber dari pemasok hulu dan gerbang pembayaran; cakupan dan kualitas jaringan aktual bergantung pada spesifikasi operator.</w:t>
      </w:r>
      <w:r/>
    </w:p>
    <w:p w14:paraId="34EE00D8">
      <w:pPr>
        <w:pBdr/>
        <w:spacing/>
        <w:ind/>
        <w:rPr/>
      </w:pPr>
      <w:r/>
      <w:r/>
    </w:p>
    <w:p w14:paraId="265552D7">
      <w:pPr>
        <w:pBdr/>
        <w:spacing/>
        <w:ind/>
        <w:rPr/>
      </w:pPr>
      <w:r>
        <w:t xml:space="preserve">2. Deskripsi Layanan</w:t>
      </w:r>
      <w:r/>
    </w:p>
    <w:p w14:paraId="2BE4A072">
      <w:pPr>
        <w:pBdr/>
        <w:spacing/>
        <w:ind/>
        <w:rPr/>
      </w:pPr>
      <w:r/>
      <w:r/>
    </w:p>
    <w:p w14:paraId="522CF6BF">
      <w:pPr>
        <w:pBdr/>
        <w:spacing/>
        <w:ind/>
        <w:rPr/>
      </w:pPr>
      <w:r>
        <w:t xml:space="preserve">- Anda dapat menelusuri paket eSIM, membuat pesanan, dan menyelesaikan pembayaran. Di dalam aplikasi, Anda dapat melihat informasi instalasi (seperti SM-DP+, kode aktivasi, kode QR), dan mengikuti petunjuk untuk menyelesaikan instalasi dan aktivasi.</w:t>
      </w:r>
      <w:r/>
    </w:p>
    <w:p w14:paraId="5F5B8A4D">
      <w:pPr>
        <w:pBdr/>
        <w:spacing/>
        <w:ind/>
        <w:rPr/>
      </w:pPr>
      <w:r/>
      <w:r/>
    </w:p>
    <w:p w14:paraId="144A3632">
      <w:pPr>
        <w:pBdr/>
        <w:spacing/>
        <w:ind/>
        <w:rPr/>
      </w:pPr>
      <w:r>
        <w:t xml:space="preserve">- Tanggal penggunaan dan kedaluwarsa dikembalikan oleh antarmuka hulu dan ditampilkan sebagai nilai referensi; mungkin ada penundaan sinkronisasi.</w:t>
      </w:r>
      <w:r/>
    </w:p>
    <w:p w14:paraId="0B0A4F80">
      <w:pPr>
        <w:pBdr/>
        <w:spacing/>
        <w:ind/>
        <w:rPr/>
      </w:pPr>
      <w:r/>
      <w:r/>
    </w:p>
    <w:p w14:paraId="66D0E1F3">
      <w:pPr>
        <w:pBdr/>
        <w:spacing/>
        <w:ind/>
        <w:rPr/>
      </w:pPr>
      <w:r>
        <w:t xml:space="preserve">3. Akun dan Pengaturan</w:t>
      </w:r>
      <w:r/>
    </w:p>
    <w:p w14:paraId="10422CFB">
      <w:pPr>
        <w:pBdr/>
        <w:spacing/>
        <w:ind/>
        <w:rPr/>
      </w:pPr>
      <w:r/>
      <w:r/>
    </w:p>
    <w:p w14:paraId="7B46C91B">
      <w:pPr>
        <w:pBdr/>
        <w:spacing/>
        <w:ind/>
        <w:rPr/>
      </w:pPr>
      <w:r>
        <w:t xml:space="preserve">- Anda dapat mengatur bahasa, mata uang, dan negara Anda di "Profil Pribadi" Anda. Pengaturan ini hanya digunakan untuk tampilan antarmuka dan harga dan tidak mengubah dasar kontrak atau mata uang penyelesaian.</w:t>
      </w:r>
      <w:r/>
    </w:p>
    <w:p w14:paraId="41B95555">
      <w:pPr>
        <w:pBdr/>
        <w:spacing/>
        <w:ind/>
        <w:rPr/>
      </w:pPr>
      <w:r/>
      <w:r/>
    </w:p>
    <w:p w14:paraId="7B66D183">
      <w:pPr>
        <w:pBdr/>
        <w:spacing/>
        <w:ind/>
        <w:rPr/>
      </w:pPr>
      <w:r>
        <w:t xml:space="preserve">- Metode login meliputi kata sandi email dan Apple Sign-in (Apple Sign-in digunakan untuk identifikasi akun dan tidak secara otomatis mengambil alamat email lengkap Anda).</w:t>
      </w:r>
      <w:r/>
    </w:p>
    <w:p w14:paraId="4F5377EB">
      <w:pPr>
        <w:pBdr/>
        <w:spacing/>
        <w:ind/>
        <w:rPr/>
      </w:pPr>
      <w:r/>
      <w:r/>
    </w:p>
    <w:p w14:paraId="3921FC1A">
      <w:pPr>
        <w:pBdr/>
        <w:spacing/>
        <w:ind/>
        <w:rPr/>
      </w:pPr>
      <w:r>
        <w:t xml:space="preserve">4. Ketergantungan Pihak Ketiga</w:t>
      </w:r>
      <w:r/>
    </w:p>
    <w:p w14:paraId="0F5ED0F2">
      <w:pPr>
        <w:pBdr/>
        <w:spacing/>
        <w:ind/>
        <w:rPr/>
      </w:pPr>
      <w:r/>
      <w:r/>
    </w:p>
    <w:p w14:paraId="776D7082">
      <w:pPr>
        <w:pBdr/>
        <w:spacing/>
        <w:ind/>
        <w:rPr/>
      </w:pPr>
      <w:r>
        <w:t xml:space="preserve">- Untuk menyelesaikan pesanan dan pembayaran, kami berinteraksi dengan pemasok hulu dan gerbang pembayaran; detail pembayaran dikelola oleh gerbang pembayaran, dan kami tidak menyimpan nomor kartu lengkap atau CVV.</w:t>
      </w:r>
      <w:r/>
    </w:p>
    <w:p w14:paraId="7632801C">
      <w:pPr>
        <w:pBdr/>
        <w:spacing/>
        <w:ind/>
        <w:rPr/>
      </w:pPr>
      <w:r/>
      <w:r/>
    </w:p>
    <w:p w14:paraId="07DF300D">
      <w:pPr>
        <w:pBdr/>
        <w:spacing/>
        <w:ind/>
        <w:rPr/>
      </w:pPr>
      <w:r>
        <w:t xml:space="preserve">- Jika gerbang email diaktifkan, tautan pengaturan ulang kata sandi atau kode verifikasi email akan dikirim untuk keamanan dan verifikasi akun.</w:t>
      </w:r>
      <w:r/>
    </w:p>
    <w:p w14:paraId="64AB032A">
      <w:pPr>
        <w:pBdr/>
        <w:spacing/>
        <w:ind/>
        <w:rPr/>
      </w:pPr>
      <w:r/>
      <w:r/>
    </w:p>
    <w:p w14:paraId="658AC80D">
      <w:pPr>
        <w:pBdr/>
        <w:spacing/>
        <w:ind/>
        <w:rPr/>
      </w:pPr>
      <w:r>
        <w:t xml:space="preserve">5. Verifikasi Identitas dan Kepatuhan (eKYC)</w:t>
      </w:r>
      <w:r/>
    </w:p>
    <w:p w14:paraId="2E98F05F">
      <w:pPr>
        <w:pBdr/>
        <w:spacing/>
        <w:ind/>
        <w:rPr/>
      </w:pPr>
      <w:r/>
      <w:r/>
    </w:p>
    <w:p w14:paraId="1E7DCEAA">
      <w:pPr>
        <w:pBdr/>
        <w:spacing/>
        <w:ind/>
        <w:rPr/>
      </w:pPr>
      <w:r>
        <w:t xml:space="preserve">- Berdasarkan persyaratan kepatuhan atau aturan pemasok hulu/gerbang pembayaran, wilayah atau skenario tertentu mungkin memerlukan eKYC (verifikasi identitas elektronik) sebelum membeli, menerima, atau menggunakan paket eSIM terkait; silakan lihat petunjuk </w:t>
      </w:r>
      <w:r>
        <w:t xml:space="preserve">dalam aplikasi dan kebijakan yang berlaku untuk detailnya.</w:t>
      </w:r>
      <w:r/>
    </w:p>
    <w:p w14:paraId="4F8A97FE">
      <w:pPr>
        <w:pBdr/>
        <w:spacing/>
        <w:ind/>
        <w:rPr/>
      </w:pPr>
      <w:r/>
      <w:r/>
    </w:p>
    <w:p w14:paraId="69236E71">
      <w:pPr>
        <w:pBdr/>
        <w:spacing/>
        <w:ind/>
        <w:rPr/>
      </w:pPr>
      <w:r>
        <w:t xml:space="preserve">6. Pembaruan Ketentuan</w:t>
      </w:r>
      <w:r/>
    </w:p>
    <w:p w14:paraId="41CCD9CE">
      <w:pPr>
        <w:pBdr/>
        <w:spacing/>
        <w:ind/>
        <w:rPr/>
      </w:pPr>
      <w:r/>
      <w:r/>
    </w:p>
    <w:p w14:paraId="35186A3B">
      <w:pPr>
        <w:pBdr/>
        <w:spacing/>
        <w:ind/>
        <w:rPr/>
      </w:pPr>
      <w:r>
        <w:t xml:space="preserve">- Kami akan memperbarui ketentuan ini sesuai dengan persyaratan fungsional dan kepatuhan; perubahan signifikan akan ditunjukkan pada halaman "Informasi Lebih Lanjut" di aplikasi. Versi terbaru yang ditampilkan di aplikasi akan berlaku.</w:t>
      </w:r>
      <w:r/>
    </w:p>
    <w:p w14:paraId="2C8892B0">
      <w:pPr>
        <w:pBdr/>
        <w:spacing/>
        <w:ind/>
        <w:rPr/>
      </w:pPr>
      <w:r/>
      <w:r/>
    </w:p>
    <w:p w14:paraId="73A026D4">
      <w:pPr>
        <w:pBdr/>
        <w:spacing/>
        <w:ind/>
        <w:rPr/>
      </w:pPr>
      <w:r>
        <w:t xml:space="preserve">7. Bahasa dan Konflik</w:t>
      </w:r>
      <w:r/>
    </w:p>
    <w:p w14:paraId="10B7E59F">
      <w:pPr>
        <w:pBdr/>
        <w:spacing/>
        <w:ind/>
        <w:rPr/>
      </w:pPr>
      <w:r/>
      <w:r/>
    </w:p>
    <w:p w14:paraId="2A5F9392">
      <w:pPr>
        <w:pBdr/>
        <w:spacing/>
        <w:ind/>
        <w:rPr/>
      </w:pPr>
      <w:r>
        <w:t xml:space="preserve">- Syarat dan ketentuan ini tersedia dalam berbagai bahasa; jika terjadi perbedaan, versi Bahasa Mandarin Sederhana atau versi yang lebih ketat akan berlaku.</w:t>
      </w:r>
      <w:r/>
    </w:p>
    <w:p w14:paraId="59679AC7">
      <w:pPr>
        <w:pBdr/>
        <w:spacing/>
        <w:ind/>
        <w:rPr/>
      </w:pPr>
      <w:r/>
      <w:r/>
    </w:p>
    <w:p w14:paraId="387FE496">
      <w:pPr>
        <w:pBdr/>
        <w:spacing/>
        <w:ind/>
        <w:rPr/>
      </w:pPr>
      <w:r>
        <w:t xml:space="preserve">8. Hubungi Kami</w:t>
      </w:r>
      <w:r/>
    </w:p>
    <w:p w14:paraId="4A16A356">
      <w:pPr>
        <w:pBdr/>
        <w:spacing/>
        <w:ind/>
        <w:rPr/>
      </w:pPr>
      <w:r/>
      <w:r/>
    </w:p>
    <w:p w14:paraId="0B6CAF40">
      <w:pPr>
        <w:pBdr/>
        <w:spacing/>
        <w:ind/>
        <w:rPr/>
      </w:pPr>
      <w:r>
        <w:t xml:space="preserve">- Email Dukungan: @esim.fit</w:t>
      </w:r>
      <w:r/>
      <w: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FEE01E9"/>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2"/>
    <w:basedOn w:val="885"/>
    <w:next w:val="885"/>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0">
    <w:name w:val="Heading 4"/>
    <w:basedOn w:val="885"/>
    <w:next w:val="885"/>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5"/>
    <w:next w:val="885"/>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5"/>
    <w:next w:val="885"/>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5"/>
    <w:next w:val="885"/>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5"/>
    <w:next w:val="885"/>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5"/>
    <w:next w:val="885"/>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6" w:default="1">
    <w:name w:val="No List"/>
    <w:uiPriority w:val="99"/>
    <w:semiHidden/>
    <w:unhideWhenUsed/>
    <w:pPr>
      <w:pBdr/>
      <w:spacing/>
      <w:ind/>
    </w:pPr>
  </w:style>
  <w:style w:type="character" w:styleId="837">
    <w:name w:val="Heading 1 Char"/>
    <w:basedOn w:val="888"/>
    <w:link w:val="886"/>
    <w:uiPriority w:val="9"/>
    <w:pPr>
      <w:pBdr/>
      <w:spacing/>
      <w:ind/>
    </w:pPr>
    <w:rPr>
      <w:rFonts w:ascii="Arial" w:hAnsi="Arial" w:eastAsia="Arial" w:cs="Arial"/>
      <w:color w:val="0f4761" w:themeColor="accent1" w:themeShade="BF"/>
      <w:sz w:val="40"/>
      <w:szCs w:val="40"/>
    </w:rPr>
  </w:style>
  <w:style w:type="character" w:styleId="838">
    <w:name w:val="Heading 2 Char"/>
    <w:basedOn w:val="888"/>
    <w:link w:val="829"/>
    <w:uiPriority w:val="9"/>
    <w:pPr>
      <w:pBdr/>
      <w:spacing/>
      <w:ind/>
    </w:pPr>
    <w:rPr>
      <w:rFonts w:ascii="Arial" w:hAnsi="Arial" w:eastAsia="Arial" w:cs="Arial"/>
      <w:color w:val="0f4761" w:themeColor="accent1" w:themeShade="BF"/>
      <w:sz w:val="32"/>
      <w:szCs w:val="32"/>
    </w:rPr>
  </w:style>
  <w:style w:type="character" w:styleId="839">
    <w:name w:val="Heading 3 Char"/>
    <w:basedOn w:val="888"/>
    <w:link w:val="887"/>
    <w:uiPriority w:val="9"/>
    <w:pPr>
      <w:pBdr/>
      <w:spacing/>
      <w:ind/>
    </w:pPr>
    <w:rPr>
      <w:rFonts w:ascii="Arial" w:hAnsi="Arial" w:eastAsia="Arial" w:cs="Arial"/>
      <w:color w:val="0f4761" w:themeColor="accent1" w:themeShade="BF"/>
      <w:sz w:val="28"/>
      <w:szCs w:val="28"/>
    </w:rPr>
  </w:style>
  <w:style w:type="character" w:styleId="840">
    <w:name w:val="Heading 4 Char"/>
    <w:basedOn w:val="888"/>
    <w:link w:val="830"/>
    <w:uiPriority w:val="9"/>
    <w:pPr>
      <w:pBdr/>
      <w:spacing/>
      <w:ind/>
    </w:pPr>
    <w:rPr>
      <w:rFonts w:ascii="Arial" w:hAnsi="Arial" w:eastAsia="Arial" w:cs="Arial"/>
      <w:i/>
      <w:iCs/>
      <w:color w:val="0f4761" w:themeColor="accent1" w:themeShade="BF"/>
    </w:rPr>
  </w:style>
  <w:style w:type="character" w:styleId="841">
    <w:name w:val="Heading 5 Char"/>
    <w:basedOn w:val="888"/>
    <w:link w:val="831"/>
    <w:uiPriority w:val="9"/>
    <w:pPr>
      <w:pBdr/>
      <w:spacing/>
      <w:ind/>
    </w:pPr>
    <w:rPr>
      <w:rFonts w:ascii="Arial" w:hAnsi="Arial" w:eastAsia="Arial" w:cs="Arial"/>
      <w:color w:val="0f4761" w:themeColor="accent1" w:themeShade="BF"/>
    </w:rPr>
  </w:style>
  <w:style w:type="character" w:styleId="842">
    <w:name w:val="Heading 6 Char"/>
    <w:basedOn w:val="888"/>
    <w:link w:val="832"/>
    <w:uiPriority w:val="9"/>
    <w:pPr>
      <w:pBdr/>
      <w:spacing/>
      <w:ind/>
    </w:pPr>
    <w:rPr>
      <w:rFonts w:ascii="Arial" w:hAnsi="Arial" w:eastAsia="Arial" w:cs="Arial"/>
      <w:i/>
      <w:iCs/>
      <w:color w:val="595959" w:themeColor="text1" w:themeTint="A6"/>
    </w:rPr>
  </w:style>
  <w:style w:type="character" w:styleId="843">
    <w:name w:val="Heading 7 Char"/>
    <w:basedOn w:val="888"/>
    <w:link w:val="833"/>
    <w:uiPriority w:val="9"/>
    <w:pPr>
      <w:pBdr/>
      <w:spacing/>
      <w:ind/>
    </w:pPr>
    <w:rPr>
      <w:rFonts w:ascii="Arial" w:hAnsi="Arial" w:eastAsia="Arial" w:cs="Arial"/>
      <w:color w:val="595959" w:themeColor="text1" w:themeTint="A6"/>
    </w:rPr>
  </w:style>
  <w:style w:type="character" w:styleId="844">
    <w:name w:val="Heading 8 Char"/>
    <w:basedOn w:val="888"/>
    <w:link w:val="834"/>
    <w:uiPriority w:val="9"/>
    <w:pPr>
      <w:pBdr/>
      <w:spacing/>
      <w:ind/>
    </w:pPr>
    <w:rPr>
      <w:rFonts w:ascii="Arial" w:hAnsi="Arial" w:eastAsia="Arial" w:cs="Arial"/>
      <w:i/>
      <w:iCs/>
      <w:color w:val="272727" w:themeColor="text1" w:themeTint="D8"/>
    </w:rPr>
  </w:style>
  <w:style w:type="character" w:styleId="845">
    <w:name w:val="Heading 9 Char"/>
    <w:basedOn w:val="888"/>
    <w:link w:val="835"/>
    <w:uiPriority w:val="9"/>
    <w:pPr>
      <w:pBdr/>
      <w:spacing/>
      <w:ind/>
    </w:pPr>
    <w:rPr>
      <w:rFonts w:ascii="Arial" w:hAnsi="Arial" w:eastAsia="Arial" w:cs="Arial"/>
      <w:i/>
      <w:iCs/>
      <w:color w:val="272727" w:themeColor="text1" w:themeTint="D8"/>
    </w:rPr>
  </w:style>
  <w:style w:type="paragraph" w:styleId="846">
    <w:name w:val="Title"/>
    <w:basedOn w:val="885"/>
    <w:next w:val="885"/>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88"/>
    <w:link w:val="846"/>
    <w:uiPriority w:val="10"/>
    <w:pPr>
      <w:pBdr/>
      <w:spacing/>
      <w:ind/>
    </w:pPr>
    <w:rPr>
      <w:rFonts w:ascii="Arial" w:hAnsi="Arial" w:eastAsia="Arial" w:cs="Arial"/>
      <w:spacing w:val="-10"/>
      <w:sz w:val="56"/>
      <w:szCs w:val="56"/>
    </w:rPr>
  </w:style>
  <w:style w:type="paragraph" w:styleId="848">
    <w:name w:val="Subtitle"/>
    <w:basedOn w:val="885"/>
    <w:next w:val="885"/>
    <w:link w:val="849"/>
    <w:uiPriority w:val="11"/>
    <w:qFormat/>
    <w:pPr>
      <w:numPr>
        <w:ilvl w:val="1"/>
      </w:numPr>
      <w:pBdr/>
      <w:spacing/>
      <w:ind/>
    </w:pPr>
    <w:rPr>
      <w:color w:val="595959" w:themeColor="text1" w:themeTint="A6"/>
      <w:spacing w:val="15"/>
      <w:sz w:val="28"/>
      <w:szCs w:val="28"/>
    </w:rPr>
  </w:style>
  <w:style w:type="character" w:styleId="849">
    <w:name w:val="Subtitle Char"/>
    <w:basedOn w:val="888"/>
    <w:link w:val="848"/>
    <w:uiPriority w:val="11"/>
    <w:pPr>
      <w:pBdr/>
      <w:spacing/>
      <w:ind/>
    </w:pPr>
    <w:rPr>
      <w:color w:val="595959" w:themeColor="text1" w:themeTint="A6"/>
      <w:spacing w:val="15"/>
      <w:sz w:val="28"/>
      <w:szCs w:val="28"/>
    </w:rPr>
  </w:style>
  <w:style w:type="paragraph" w:styleId="850">
    <w:name w:val="Quote"/>
    <w:basedOn w:val="885"/>
    <w:next w:val="885"/>
    <w:link w:val="851"/>
    <w:uiPriority w:val="29"/>
    <w:qFormat/>
    <w:pPr>
      <w:pBdr/>
      <w:spacing w:before="160"/>
      <w:ind/>
      <w:jc w:val="center"/>
    </w:pPr>
    <w:rPr>
      <w:i/>
      <w:iCs/>
      <w:color w:val="404040" w:themeColor="text1" w:themeTint="BF"/>
    </w:rPr>
  </w:style>
  <w:style w:type="character" w:styleId="851">
    <w:name w:val="Quote Char"/>
    <w:basedOn w:val="888"/>
    <w:link w:val="850"/>
    <w:uiPriority w:val="29"/>
    <w:pPr>
      <w:pBdr/>
      <w:spacing/>
      <w:ind/>
    </w:pPr>
    <w:rPr>
      <w:i/>
      <w:iCs/>
      <w:color w:val="404040" w:themeColor="text1" w:themeTint="BF"/>
    </w:rPr>
  </w:style>
  <w:style w:type="paragraph" w:styleId="852">
    <w:name w:val="List Paragraph"/>
    <w:basedOn w:val="885"/>
    <w:uiPriority w:val="34"/>
    <w:qFormat/>
    <w:pPr>
      <w:pBdr/>
      <w:spacing/>
      <w:ind w:left="720"/>
      <w:contextualSpacing w:val="true"/>
    </w:pPr>
  </w:style>
  <w:style w:type="character" w:styleId="853">
    <w:name w:val="Intense Emphasis"/>
    <w:basedOn w:val="888"/>
    <w:uiPriority w:val="21"/>
    <w:qFormat/>
    <w:pPr>
      <w:pBdr/>
      <w:spacing/>
      <w:ind/>
    </w:pPr>
    <w:rPr>
      <w:i/>
      <w:iCs/>
      <w:color w:val="0f4761" w:themeColor="accent1" w:themeShade="BF"/>
    </w:rPr>
  </w:style>
  <w:style w:type="paragraph" w:styleId="854">
    <w:name w:val="Intense Quote"/>
    <w:basedOn w:val="885"/>
    <w:next w:val="885"/>
    <w:link w:val="8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5">
    <w:name w:val="Intense Quote Char"/>
    <w:basedOn w:val="888"/>
    <w:link w:val="854"/>
    <w:uiPriority w:val="30"/>
    <w:pPr>
      <w:pBdr/>
      <w:spacing/>
      <w:ind/>
    </w:pPr>
    <w:rPr>
      <w:i/>
      <w:iCs/>
      <w:color w:val="0f4761" w:themeColor="accent1" w:themeShade="BF"/>
    </w:rPr>
  </w:style>
  <w:style w:type="character" w:styleId="856">
    <w:name w:val="Intense Reference"/>
    <w:basedOn w:val="888"/>
    <w:uiPriority w:val="32"/>
    <w:qFormat/>
    <w:pPr>
      <w:pBdr/>
      <w:spacing/>
      <w:ind/>
    </w:pPr>
    <w:rPr>
      <w:b/>
      <w:bCs/>
      <w:smallCaps/>
      <w:color w:val="0f4761" w:themeColor="accent1" w:themeShade="BF"/>
      <w:spacing w:val="5"/>
    </w:rPr>
  </w:style>
  <w:style w:type="paragraph" w:styleId="857">
    <w:name w:val="No Spacing"/>
    <w:basedOn w:val="885"/>
    <w:uiPriority w:val="1"/>
    <w:qFormat/>
    <w:pPr>
      <w:pBdr/>
      <w:spacing w:after="0" w:line="240" w:lineRule="auto"/>
      <w:ind/>
    </w:pPr>
  </w:style>
  <w:style w:type="character" w:styleId="858">
    <w:name w:val="Subtle Emphasis"/>
    <w:basedOn w:val="888"/>
    <w:uiPriority w:val="19"/>
    <w:qFormat/>
    <w:pPr>
      <w:pBdr/>
      <w:spacing/>
      <w:ind/>
    </w:pPr>
    <w:rPr>
      <w:i/>
      <w:iCs/>
      <w:color w:val="404040" w:themeColor="text1" w:themeTint="BF"/>
    </w:rPr>
  </w:style>
  <w:style w:type="character" w:styleId="859">
    <w:name w:val="Subtle Reference"/>
    <w:basedOn w:val="888"/>
    <w:uiPriority w:val="31"/>
    <w:qFormat/>
    <w:pPr>
      <w:pBdr/>
      <w:spacing/>
      <w:ind/>
    </w:pPr>
    <w:rPr>
      <w:smallCaps/>
      <w:color w:val="5a5a5a" w:themeColor="text1" w:themeTint="A5"/>
    </w:rPr>
  </w:style>
  <w:style w:type="character" w:styleId="860">
    <w:name w:val="Book Title"/>
    <w:basedOn w:val="888"/>
    <w:uiPriority w:val="33"/>
    <w:qFormat/>
    <w:pPr>
      <w:pBdr/>
      <w:spacing/>
      <w:ind/>
    </w:pPr>
    <w:rPr>
      <w:b/>
      <w:bCs/>
      <w:i/>
      <w:iCs/>
      <w:spacing w:val="5"/>
    </w:rPr>
  </w:style>
  <w:style w:type="paragraph" w:styleId="861">
    <w:name w:val="Header"/>
    <w:basedOn w:val="885"/>
    <w:link w:val="862"/>
    <w:uiPriority w:val="99"/>
    <w:unhideWhenUsed/>
    <w:pPr>
      <w:pBdr/>
      <w:tabs>
        <w:tab w:val="center" w:leader="none" w:pos="4844"/>
        <w:tab w:val="right" w:leader="none" w:pos="9689"/>
      </w:tabs>
      <w:spacing w:after="0" w:line="240" w:lineRule="auto"/>
      <w:ind/>
    </w:pPr>
  </w:style>
  <w:style w:type="character" w:styleId="862">
    <w:name w:val="Header Char"/>
    <w:basedOn w:val="888"/>
    <w:link w:val="861"/>
    <w:uiPriority w:val="99"/>
    <w:pPr>
      <w:pBdr/>
      <w:spacing/>
      <w:ind/>
    </w:pPr>
  </w:style>
  <w:style w:type="paragraph" w:styleId="863">
    <w:name w:val="Footer"/>
    <w:basedOn w:val="885"/>
    <w:link w:val="864"/>
    <w:uiPriority w:val="99"/>
    <w:unhideWhenUsed/>
    <w:pPr>
      <w:pBdr/>
      <w:tabs>
        <w:tab w:val="center" w:leader="none" w:pos="4844"/>
        <w:tab w:val="right" w:leader="none" w:pos="9689"/>
      </w:tabs>
      <w:spacing w:after="0" w:line="240" w:lineRule="auto"/>
      <w:ind/>
    </w:pPr>
  </w:style>
  <w:style w:type="character" w:styleId="864">
    <w:name w:val="Footer Char"/>
    <w:basedOn w:val="888"/>
    <w:link w:val="863"/>
    <w:uiPriority w:val="99"/>
    <w:pPr>
      <w:pBdr/>
      <w:spacing/>
      <w:ind/>
    </w:pPr>
  </w:style>
  <w:style w:type="paragraph" w:styleId="865">
    <w:name w:val="Caption"/>
    <w:basedOn w:val="885"/>
    <w:next w:val="885"/>
    <w:uiPriority w:val="35"/>
    <w:unhideWhenUsed/>
    <w:qFormat/>
    <w:pPr>
      <w:pBdr/>
      <w:spacing w:after="200" w:line="240" w:lineRule="auto"/>
      <w:ind/>
    </w:pPr>
    <w:rPr>
      <w:i/>
      <w:iCs/>
      <w:color w:val="0e2841" w:themeColor="text2"/>
      <w:sz w:val="18"/>
      <w:szCs w:val="18"/>
    </w:rPr>
  </w:style>
  <w:style w:type="paragraph" w:styleId="866">
    <w:name w:val="footnote text"/>
    <w:basedOn w:val="885"/>
    <w:link w:val="867"/>
    <w:uiPriority w:val="99"/>
    <w:semiHidden/>
    <w:unhideWhenUsed/>
    <w:pPr>
      <w:pBdr/>
      <w:spacing w:after="0" w:line="240" w:lineRule="auto"/>
      <w:ind/>
    </w:pPr>
    <w:rPr>
      <w:sz w:val="20"/>
      <w:szCs w:val="20"/>
    </w:rPr>
  </w:style>
  <w:style w:type="character" w:styleId="867">
    <w:name w:val="Footnote Text Char"/>
    <w:basedOn w:val="888"/>
    <w:link w:val="866"/>
    <w:uiPriority w:val="99"/>
    <w:semiHidden/>
    <w:pPr>
      <w:pBdr/>
      <w:spacing/>
      <w:ind/>
    </w:pPr>
    <w:rPr>
      <w:sz w:val="20"/>
      <w:szCs w:val="20"/>
    </w:rPr>
  </w:style>
  <w:style w:type="character" w:styleId="868">
    <w:name w:val="footnote reference"/>
    <w:basedOn w:val="888"/>
    <w:uiPriority w:val="99"/>
    <w:semiHidden/>
    <w:unhideWhenUsed/>
    <w:pPr>
      <w:pBdr/>
      <w:spacing/>
      <w:ind/>
    </w:pPr>
    <w:rPr>
      <w:vertAlign w:val="superscript"/>
    </w:rPr>
  </w:style>
  <w:style w:type="paragraph" w:styleId="869">
    <w:name w:val="endnote text"/>
    <w:basedOn w:val="885"/>
    <w:link w:val="870"/>
    <w:uiPriority w:val="99"/>
    <w:semiHidden/>
    <w:unhideWhenUsed/>
    <w:pPr>
      <w:pBdr/>
      <w:spacing w:after="0" w:line="240" w:lineRule="auto"/>
      <w:ind/>
    </w:pPr>
    <w:rPr>
      <w:sz w:val="20"/>
      <w:szCs w:val="20"/>
    </w:rPr>
  </w:style>
  <w:style w:type="character" w:styleId="870">
    <w:name w:val="Endnote Text Char"/>
    <w:basedOn w:val="888"/>
    <w:link w:val="869"/>
    <w:uiPriority w:val="99"/>
    <w:semiHidden/>
    <w:pPr>
      <w:pBdr/>
      <w:spacing/>
      <w:ind/>
    </w:pPr>
    <w:rPr>
      <w:sz w:val="20"/>
      <w:szCs w:val="20"/>
    </w:rPr>
  </w:style>
  <w:style w:type="character" w:styleId="871">
    <w:name w:val="endnote reference"/>
    <w:basedOn w:val="888"/>
    <w:uiPriority w:val="99"/>
    <w:semiHidden/>
    <w:unhideWhenUsed/>
    <w:pPr>
      <w:pBdr/>
      <w:spacing/>
      <w:ind/>
    </w:pPr>
    <w:rPr>
      <w:vertAlign w:val="superscript"/>
    </w:rPr>
  </w:style>
  <w:style w:type="character" w:styleId="872">
    <w:name w:val="FollowedHyperlink"/>
    <w:basedOn w:val="888"/>
    <w:uiPriority w:val="99"/>
    <w:semiHidden/>
    <w:unhideWhenUsed/>
    <w:pPr>
      <w:pBdr/>
      <w:spacing/>
      <w:ind/>
    </w:pPr>
    <w:rPr>
      <w:color w:val="954f72" w:themeColor="followedHyperlink"/>
      <w:u w:val="single"/>
    </w:rPr>
  </w:style>
  <w:style w:type="paragraph" w:styleId="873">
    <w:name w:val="toc 1"/>
    <w:basedOn w:val="885"/>
    <w:next w:val="885"/>
    <w:uiPriority w:val="39"/>
    <w:unhideWhenUsed/>
    <w:pPr>
      <w:pBdr/>
      <w:spacing w:after="100"/>
      <w:ind/>
    </w:pPr>
  </w:style>
  <w:style w:type="paragraph" w:styleId="874">
    <w:name w:val="toc 2"/>
    <w:basedOn w:val="885"/>
    <w:next w:val="885"/>
    <w:uiPriority w:val="39"/>
    <w:unhideWhenUsed/>
    <w:pPr>
      <w:pBdr/>
      <w:spacing w:after="100"/>
      <w:ind w:left="220"/>
    </w:pPr>
  </w:style>
  <w:style w:type="paragraph" w:styleId="875">
    <w:name w:val="toc 3"/>
    <w:basedOn w:val="885"/>
    <w:next w:val="885"/>
    <w:uiPriority w:val="39"/>
    <w:unhideWhenUsed/>
    <w:pPr>
      <w:pBdr/>
      <w:spacing w:after="100"/>
      <w:ind w:left="440"/>
    </w:pPr>
  </w:style>
  <w:style w:type="paragraph" w:styleId="876">
    <w:name w:val="toc 4"/>
    <w:basedOn w:val="885"/>
    <w:next w:val="885"/>
    <w:uiPriority w:val="39"/>
    <w:unhideWhenUsed/>
    <w:pPr>
      <w:pBdr/>
      <w:spacing w:after="100"/>
      <w:ind w:left="660"/>
    </w:pPr>
  </w:style>
  <w:style w:type="paragraph" w:styleId="877">
    <w:name w:val="toc 5"/>
    <w:basedOn w:val="885"/>
    <w:next w:val="885"/>
    <w:uiPriority w:val="39"/>
    <w:unhideWhenUsed/>
    <w:pPr>
      <w:pBdr/>
      <w:spacing w:after="100"/>
      <w:ind w:left="880"/>
    </w:pPr>
  </w:style>
  <w:style w:type="paragraph" w:styleId="878">
    <w:name w:val="toc 6"/>
    <w:basedOn w:val="885"/>
    <w:next w:val="885"/>
    <w:uiPriority w:val="39"/>
    <w:unhideWhenUsed/>
    <w:pPr>
      <w:pBdr/>
      <w:spacing w:after="100"/>
      <w:ind w:left="1100"/>
    </w:pPr>
  </w:style>
  <w:style w:type="paragraph" w:styleId="879">
    <w:name w:val="toc 7"/>
    <w:basedOn w:val="885"/>
    <w:next w:val="885"/>
    <w:uiPriority w:val="39"/>
    <w:unhideWhenUsed/>
    <w:pPr>
      <w:pBdr/>
      <w:spacing w:after="100"/>
      <w:ind w:left="1320"/>
    </w:pPr>
  </w:style>
  <w:style w:type="paragraph" w:styleId="880">
    <w:name w:val="toc 8"/>
    <w:basedOn w:val="885"/>
    <w:next w:val="885"/>
    <w:uiPriority w:val="39"/>
    <w:unhideWhenUsed/>
    <w:pPr>
      <w:pBdr/>
      <w:spacing w:after="100"/>
      <w:ind w:left="1540"/>
    </w:pPr>
  </w:style>
  <w:style w:type="paragraph" w:styleId="881">
    <w:name w:val="toc 9"/>
    <w:basedOn w:val="885"/>
    <w:next w:val="885"/>
    <w:uiPriority w:val="39"/>
    <w:unhideWhenUsed/>
    <w:pPr>
      <w:pBdr/>
      <w:spacing w:after="100"/>
      <w:ind w:left="1760"/>
    </w:pPr>
  </w:style>
  <w:style w:type="character" w:styleId="882">
    <w:name w:val="Placeholder Text"/>
    <w:basedOn w:val="888"/>
    <w:uiPriority w:val="99"/>
    <w:semiHidden/>
    <w:pPr>
      <w:pBdr/>
      <w:spacing/>
      <w:ind/>
    </w:pPr>
    <w:rPr>
      <w:color w:val="666666"/>
    </w:rPr>
  </w:style>
  <w:style w:type="paragraph" w:styleId="883">
    <w:name w:val="TOC Heading"/>
    <w:uiPriority w:val="39"/>
    <w:unhideWhenUsed/>
    <w:pPr>
      <w:pBdr/>
      <w:spacing/>
      <w:ind/>
    </w:pPr>
  </w:style>
  <w:style w:type="paragraph" w:styleId="884">
    <w:name w:val="table of figures"/>
    <w:basedOn w:val="885"/>
    <w:next w:val="885"/>
    <w:uiPriority w:val="99"/>
    <w:unhideWhenUsed/>
    <w:pPr>
      <w:pBdr/>
      <w:spacing w:after="0" w:afterAutospacing="0"/>
      <w:ind/>
    </w:pPr>
  </w:style>
  <w:style w:type="paragraph" w:styleId="885"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6">
    <w:name w:val="Heading 1"/>
    <w:basedOn w:val="885"/>
    <w:next w:val="885"/>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87">
    <w:name w:val="Heading 3"/>
    <w:basedOn w:val="885"/>
    <w:next w:val="885"/>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88" w:default="1">
    <w:name w:val="Default Paragraph Font"/>
    <w:uiPriority w:val="0"/>
    <w:semiHidden/>
    <w:pPr>
      <w:pBdr/>
      <w:spacing/>
      <w:ind/>
    </w:pPr>
  </w:style>
  <w:style w:type="table" w:styleId="88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rmal (Web)"/>
    <w:basedOn w:val="885"/>
    <w:uiPriority w:val="0"/>
    <w:pPr>
      <w:pBdr/>
      <w:spacing w:after="0" w:afterAutospacing="1" w:before="0" w:beforeAutospacing="1"/>
      <w:ind w:right="0" w:left="0"/>
      <w:jc w:val="left"/>
    </w:pPr>
    <w:rPr>
      <w:sz w:val="24"/>
      <w:lang w:val="en-US" w:eastAsia="zh-CN" w:bidi="ar"/>
    </w:rPr>
  </w:style>
  <w:style w:type="character" w:styleId="891">
    <w:name w:val="Strong"/>
    <w:basedOn w:val="888"/>
    <w:uiPriority w:val="0"/>
    <w:qFormat/>
    <w:pPr>
      <w:pBdr/>
      <w:spacing/>
      <w:ind/>
    </w:pPr>
    <w:rPr>
      <w:b/>
    </w:rPr>
  </w:style>
  <w:style w:type="character" w:styleId="892">
    <w:name w:val="Emphasis"/>
    <w:basedOn w:val="888"/>
    <w:uiPriority w:val="0"/>
    <w:qFormat/>
    <w:pPr>
      <w:pBdr/>
      <w:spacing/>
      <w:ind/>
    </w:pPr>
    <w:rPr>
      <w:i/>
    </w:rPr>
  </w:style>
  <w:style w:type="character" w:styleId="893">
    <w:name w:val="Hyperlink"/>
    <w:basedOn w:val="888"/>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3</cp:revision>
  <dcterms:created xsi:type="dcterms:W3CDTF">2025-07-30T00:14:00Z</dcterms:created>
  <dcterms:modified xsi:type="dcterms:W3CDTF">2025-12-10T06:07:28Z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