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E67A32">
      <w:pPr>
        <w:pStyle w:val="88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  <w:t xml:space="preserve">一般条款</w:t>
      </w:r>
      <w:r>
        <w:rPr>
          <w:rFonts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648A5E6">
      <w:pPr>
        <w:pBdr/>
        <w:spacing/>
        <w:ind/>
        <w:rPr/>
      </w:pPr>
      <w:r>
        <w:rPr>
          <w:rFonts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29E4C5CE">
      <w:pPr>
        <w:pBdr/>
        <w:spacing/>
        <w:ind/>
        <w:rPr/>
      </w:pPr>
      <w:r>
        <w:t xml:space="preserve">1. 适用范围</w:t>
      </w:r>
      <w:r/>
    </w:p>
    <w:p w14:paraId="6E2CD4D2">
      <w:pPr>
        <w:pBdr/>
        <w:spacing/>
        <w:ind/>
        <w:rPr/>
      </w:pPr>
      <w:r>
        <w:t xml:space="preserve">- 本一般条款适用于 iOS 应用“</w:t>
      </w:r>
      <w:r>
        <w:t xml:space="preserve">eSIM Home</w:t>
      </w:r>
      <w:r>
        <w:t xml:space="preserve">”，涵盖账号、订单、支付、安装信息与用量展示、客服与支持等功能。</w:t>
      </w:r>
      <w:r/>
    </w:p>
    <w:p w14:paraId="282A06DF">
      <w:pPr>
        <w:pBdr/>
        <w:spacing/>
        <w:ind/>
        <w:rPr/>
      </w:pPr>
      <w:r>
        <w:t xml:space="preserve">- 服务的部分数据来源于上游供应商与支付网关，实际网络覆盖与质量以运营商为准。</w:t>
      </w:r>
      <w:r/>
    </w:p>
    <w:p w14:paraId="1B001BBA">
      <w:pPr>
        <w:pBdr/>
        <w:spacing/>
        <w:ind/>
        <w:rPr/>
      </w:pPr>
      <w:r>
        <w:t xml:space="preserve">2. 服务说明</w:t>
      </w:r>
      <w:r/>
    </w:p>
    <w:p w14:paraId="67E02CA9">
      <w:pPr>
        <w:pBdr/>
        <w:spacing/>
        <w:ind/>
        <w:rPr/>
      </w:pPr>
      <w:r>
        <w:t xml:space="preserve">- 您可以浏览 eSIM 套餐、创建订单并完成支付，在应用内查看安装信息（如 SM-DP+、激活码、二维码），并按引导完成安装与激活。</w:t>
      </w:r>
      <w:r/>
    </w:p>
    <w:p w14:paraId="37005897">
      <w:pPr>
        <w:pBdr/>
        <w:spacing/>
        <w:ind/>
        <w:rPr/>
      </w:pPr>
      <w:r>
        <w:t xml:space="preserve">- 用量与到期时间由上游接口返回，展示为参考值，可能存在同步延迟。</w:t>
      </w:r>
      <w:r/>
    </w:p>
    <w:p w14:paraId="5214BE05">
      <w:pPr>
        <w:pBdr/>
        <w:spacing/>
        <w:ind/>
        <w:rPr/>
      </w:pPr>
      <w:r>
        <w:t xml:space="preserve">3. 账号与设置</w:t>
      </w:r>
      <w:r/>
    </w:p>
    <w:p w14:paraId="4A09BB5E">
      <w:pPr>
        <w:pBdr/>
        <w:spacing/>
        <w:ind/>
        <w:rPr/>
      </w:pPr>
      <w:r>
        <w:t xml:space="preserve">- 您可在“个人资料”中设置语言、货币与国家，这些设置仅用于界面与价格显示，不改变合同基础或结算货币。</w:t>
      </w:r>
      <w:r/>
    </w:p>
    <w:p w14:paraId="6AE922E5">
      <w:pPr>
        <w:pBdr/>
        <w:spacing/>
        <w:ind/>
        <w:rPr/>
      </w:pPr>
      <w:r>
        <w:t xml:space="preserve">- 登录方式包括邮箱密码与 Apple 登录（Apple 登录用于账号标识关联，不会自动获取您的完整邮箱）。</w:t>
      </w:r>
      <w:r/>
    </w:p>
    <w:p w14:paraId="3FDF953E">
      <w:pPr>
        <w:pBdr/>
        <w:spacing/>
        <w:ind/>
        <w:rPr/>
      </w:pPr>
      <w:r>
        <w:t xml:space="preserve">4. 第三方依赖</w:t>
      </w:r>
      <w:r/>
    </w:p>
    <w:p w14:paraId="7604CB46">
      <w:pPr>
        <w:pBdr/>
        <w:spacing/>
        <w:ind/>
        <w:rPr/>
      </w:pPr>
      <w:r>
        <w:t xml:space="preserve">- 为完成订单与支付，我们会与上游供应商与支付网关交互；支付详情由网关托管，我们不保存完整卡号或 CVV。</w:t>
      </w:r>
      <w:r/>
    </w:p>
    <w:p w14:paraId="5E7ECB2F">
      <w:pPr>
        <w:pBdr/>
        <w:spacing/>
        <w:ind/>
        <w:rPr>
          <w:highlight w:val="none"/>
        </w:rPr>
      </w:pPr>
      <w:r>
        <w:t xml:space="preserve">- 若启用邮件网关，将发送密码重置链接或邮箱验证码，用于账号安全与验证。</w:t>
      </w:r>
      <w:r/>
      <w:r/>
    </w:p>
    <w:p w14:paraId="62268050">
      <w:pPr>
        <w:pBdr/>
        <w:spacing/>
        <w:ind/>
        <w:rPr>
          <w:highlight w:val="none"/>
          <w:lang w:val="zh-Hans"/>
        </w:rPr>
      </w:pPr>
      <w:r>
        <w:rPr>
          <w:highlight w:val="none"/>
          <w:lang w:val="zh-Hans"/>
        </w:rPr>
        <w:t xml:space="preserve">5. </w:t>
      </w:r>
      <w:r>
        <w:rPr>
          <w:rFonts w:hint="default" w:ascii="Arial" w:hAnsi="Arial" w:eastAsia="Arial" w:cs="Arial"/>
          <w:b w:val="0"/>
          <w:bCs w:val="0"/>
          <w:highlight w:val="none"/>
          <w:lang w:val="zh-Hans"/>
        </w:rPr>
        <w:t xml:space="preserve">身份验证与合规（eKYC）</w:t>
      </w:r>
      <w:r/>
      <w:r>
        <w:rPr>
          <w:highlight w:val="none"/>
          <w:lang w:val="zh-Hans"/>
        </w:rPr>
      </w:r>
      <w:r/>
    </w:p>
    <w:p w14:paraId="08B507D3">
      <w:pPr>
        <w:pBdr/>
        <w:spacing/>
        <w:ind/>
        <w:rPr/>
      </w:pPr>
      <w:r>
        <w:rPr>
          <w:highlight w:val="none"/>
          <w:lang w:val="zh-Hans"/>
        </w:rPr>
      </w:r>
      <w:r>
        <w:rPr>
          <w:highlight w:val="none"/>
          <w:lang w:val="zh-Hans"/>
        </w:rPr>
      </w:r>
      <w:r>
        <w:t xml:space="preserve">-</w:t>
      </w:r>
      <w:r/>
      <w:r>
        <w:rPr>
          <w:highlight w:val="none"/>
          <w:lang w:val="zh-Hans"/>
        </w:rPr>
        <w:t xml:space="preserve"> 在合规要求或上游供应商/支付网关的规则下，某些地区或场景可能需要完成 eKYC（电子身份验证）后方可购买、交付或使用相关 eSIM 套餐；具体以应用内提示与适用政策为准。</w:t>
      </w:r>
      <w:r>
        <w:rPr>
          <w:highlight w:val="none"/>
        </w:rPr>
      </w:r>
      <w:r/>
    </w:p>
    <w:p w14:paraId="0F19724E">
      <w:pPr>
        <w:pBdr/>
        <w:spacing/>
        <w:ind/>
        <w:rPr/>
      </w:pPr>
      <w:r>
        <w:rPr>
          <w:lang w:val="zh-Hans"/>
        </w:rPr>
        <w:t xml:space="preserve">6</w:t>
      </w:r>
      <w:r>
        <w:t xml:space="preserve">. 条款更新</w:t>
      </w:r>
      <w:r/>
    </w:p>
    <w:p w14:paraId="7823D452">
      <w:pPr>
        <w:pBdr/>
        <w:spacing/>
        <w:ind/>
        <w:rPr/>
      </w:pPr>
      <w:r>
        <w:t xml:space="preserve">- 我们将根据功能与合规要求更新本条款；重大变更将在应用“更多信息”页面提示。最新版本以应用内展示为准。</w:t>
      </w:r>
      <w:r/>
    </w:p>
    <w:p w14:paraId="5FB26351">
      <w:pPr>
        <w:pBdr/>
        <w:spacing/>
        <w:ind/>
        <w:rPr/>
      </w:pPr>
      <w:r>
        <w:rPr>
          <w:lang w:val="zh-Hans"/>
        </w:rPr>
        <w:t xml:space="preserve">7</w:t>
      </w:r>
      <w:r>
        <w:t xml:space="preserve">. 语言与冲突</w:t>
      </w:r>
      <w:r/>
    </w:p>
    <w:p w14:paraId="5EAA64F2">
      <w:pPr>
        <w:pBdr/>
        <w:spacing/>
        <w:ind/>
        <w:rPr/>
      </w:pPr>
      <w:r>
        <w:t xml:space="preserve">- 本条款提供多语言版本；如存在差异，以中文简体版本或更严格版本为准。</w:t>
      </w:r>
      <w:r/>
    </w:p>
    <w:p w14:paraId="3BD33B75">
      <w:pPr>
        <w:pBdr/>
        <w:spacing/>
        <w:ind/>
        <w:rPr/>
      </w:pPr>
      <w:r>
        <w:rPr>
          <w:lang w:val="zh-Hans"/>
        </w:rPr>
        <w:t xml:space="preserve">8</w:t>
      </w:r>
      <w:r>
        <w:t xml:space="preserve">. 联系我们</w:t>
      </w:r>
      <w:r/>
    </w:p>
    <w:p w14:paraId="5F088507">
      <w:pPr>
        <w:pBdr/>
        <w:spacing/>
        <w:ind/>
        <w:rPr/>
      </w:pPr>
      <w:r>
        <w:t xml:space="preserve">- 支持邮箱： </w:t>
      </w:r>
      <w:r>
        <w:rPr>
          <w:rFonts w:hint="default" w:ascii="sans-serif" w:hAnsi="sans-serif" w:eastAsia="sans-serif" w:cs="sans-serif"/>
          <w:u w:val="single"/>
          <w:lang w:val="en-US"/>
        </w:rPr>
        <w:t xml:space="preserve">@esim.fit</w:t>
      </w:r>
      <w:r>
        <w:t xml:space="preserve"> 。</w:t>
      </w:r>
      <w:r/>
    </w:p>
    <w:p w14:paraId="0CA36B89">
      <w:pPr>
        <w:pBdr/>
        <w:spacing/>
        <w:ind/>
        <w:rPr/>
      </w:pPr>
      <w:r/>
      <w:r/>
    </w:p>
    <w:p w14:paraId="0B6CAF40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FEE01E9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8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8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8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8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8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5"/>
    <w:next w:val="885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8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8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8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8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8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6">
    <w:name w:val="Heading 1"/>
    <w:basedOn w:val="885"/>
    <w:next w:val="88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7">
    <w:name w:val="Heading 3"/>
    <w:basedOn w:val="885"/>
    <w:next w:val="885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88" w:default="1">
    <w:name w:val="Default Paragraph Font"/>
    <w:uiPriority w:val="0"/>
    <w:semiHidden/>
    <w:pPr>
      <w:pBdr/>
      <w:spacing/>
      <w:ind/>
    </w:pPr>
  </w:style>
  <w:style w:type="table" w:styleId="88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Normal (Web)"/>
    <w:basedOn w:val="88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1">
    <w:name w:val="Strong"/>
    <w:basedOn w:val="888"/>
    <w:uiPriority w:val="0"/>
    <w:qFormat/>
    <w:pPr>
      <w:pBdr/>
      <w:spacing/>
      <w:ind/>
    </w:pPr>
    <w:rPr>
      <w:b/>
    </w:rPr>
  </w:style>
  <w:style w:type="character" w:styleId="892">
    <w:name w:val="Emphasis"/>
    <w:basedOn w:val="888"/>
    <w:uiPriority w:val="0"/>
    <w:qFormat/>
    <w:pPr>
      <w:pBdr/>
      <w:spacing/>
      <w:ind/>
    </w:pPr>
    <w:rPr>
      <w:i/>
    </w:rPr>
  </w:style>
  <w:style w:type="character" w:styleId="893">
    <w:name w:val="Hyperlink"/>
    <w:basedOn w:val="888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2025-12-10T05:27:48Z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