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CE67A32">
      <w:pPr>
        <w:pStyle w:val="88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sans-serif" w:hAnsi="sans-serif" w:eastAsia="sans-serif" w:cs="sans-serif"/>
          <w:b/>
          <w:bCs/>
        </w:rPr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hint="default" w:ascii="sans-serif" w:hAnsi="sans-serif" w:eastAsia="sans-serif" w:cs="sans-serif"/>
          <w:b/>
          <w:bCs/>
        </w:rPr>
        <w:t xml:space="preserve">一般條款</w:t>
      </w: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</w:p>
    <w:p w14:paraId="5648A5E6">
      <w:pPr>
        <w:pBdr/>
        <w:spacing/>
        <w:ind/>
        <w:rPr/>
      </w:pPr>
      <w:r>
        <w:rPr>
          <w:rFonts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  <w:r/>
    </w:p>
    <w:p w14:paraId="3E7D9193">
      <w:pPr>
        <w:pBdr/>
        <w:spacing/>
        <w:ind/>
        <w:rPr/>
      </w:pPr>
      <w:r/>
      <w:r/>
    </w:p>
    <w:p w14:paraId="2D98D72A">
      <w:pPr>
        <w:pBdr/>
        <w:spacing/>
        <w:ind/>
        <w:rPr/>
      </w:pPr>
      <w:r>
        <w:t xml:space="preserve">1. 適用範圍</w:t>
      </w:r>
      <w:r/>
    </w:p>
    <w:p w14:paraId="66FA97EA">
      <w:pPr>
        <w:pBdr/>
        <w:spacing/>
        <w:ind/>
        <w:rPr/>
      </w:pPr>
      <w:r>
        <w:t xml:space="preserve">- 本一般條款適用於 iOS 應用程式“eSIM Home”，涵蓋帳號、訂單、付款、安裝資訊與用量展示、客服與支援等功能。</w:t>
      </w:r>
      <w:r/>
    </w:p>
    <w:p w14:paraId="3D738AEC">
      <w:pPr>
        <w:pBdr/>
        <w:spacing/>
        <w:ind/>
        <w:rPr/>
      </w:pPr>
      <w:r>
        <w:t xml:space="preserve">- 服務的部分資料來自上游供應商與支付網關，實際網路覆蓋與品質以營運商為準。</w:t>
      </w:r>
      <w:r/>
    </w:p>
    <w:p w14:paraId="3BAACDC0">
      <w:pPr>
        <w:pBdr/>
        <w:spacing/>
        <w:ind/>
        <w:rPr/>
      </w:pPr>
      <w:r>
        <w:t xml:space="preserve">2. 服務說明</w:t>
      </w:r>
      <w:r/>
    </w:p>
    <w:p w14:paraId="68F59CDC">
      <w:pPr>
        <w:pBdr/>
        <w:spacing/>
        <w:ind/>
        <w:rPr/>
      </w:pPr>
      <w:r>
        <w:t xml:space="preserve">- 您可以瀏覽 eSIM 套餐、建立訂單並完成支付，在應用程式內查看安裝資訊（如 SM-DP+、啟動碼、二維碼），並按引導完成安裝與啟動。</w:t>
      </w:r>
      <w:r/>
    </w:p>
    <w:p w14:paraId="325D0CC2">
      <w:pPr>
        <w:pBdr/>
        <w:spacing/>
        <w:ind/>
        <w:rPr/>
      </w:pPr>
      <w:r>
        <w:t xml:space="preserve">- 用量與到期時間由上游介面傳回，顯示為參考值，可能存在同步延遲。</w:t>
      </w:r>
      <w:r/>
    </w:p>
    <w:p w14:paraId="1BA0E982">
      <w:pPr>
        <w:pBdr/>
        <w:spacing/>
        <w:ind/>
        <w:rPr/>
      </w:pPr>
      <w:r>
        <w:t xml:space="preserve">3. 帳號與設定</w:t>
      </w:r>
      <w:r/>
    </w:p>
    <w:p w14:paraId="2AC7AA06">
      <w:pPr>
        <w:pBdr/>
        <w:spacing/>
        <w:ind/>
        <w:rPr/>
      </w:pPr>
      <w:r>
        <w:t xml:space="preserve">- 您可在「個人資料」中設定語言、貨幣與國家，這些設定僅用於介面與價格顯示，不會改變合約基礎或結算貨幣。</w:t>
      </w:r>
      <w:r/>
    </w:p>
    <w:p w14:paraId="19DB6E51">
      <w:pPr>
        <w:pBdr/>
        <w:spacing/>
        <w:ind/>
        <w:rPr/>
      </w:pPr>
      <w:r>
        <w:t xml:space="preserve">- 登入方式包含郵件信箱密碼與 Apple 登入（Apple 登入用於帳號識別關聯，不會自動取得您的完整信箱）。</w:t>
      </w:r>
      <w:r/>
    </w:p>
    <w:p w14:paraId="3636210A">
      <w:pPr>
        <w:pBdr/>
        <w:spacing/>
        <w:ind/>
        <w:rPr/>
      </w:pPr>
      <w:r>
        <w:t xml:space="preserve">4. 第三方依賴</w:t>
      </w:r>
      <w:r/>
    </w:p>
    <w:p w14:paraId="2677FD13">
      <w:pPr>
        <w:pBdr/>
        <w:spacing/>
        <w:ind/>
        <w:rPr/>
      </w:pPr>
      <w:r>
        <w:t xml:space="preserve">- 為完成訂單與支付，我們會與上游供應商與支付網關互動；支付詳情由網關託管，我們不保存完整卡號或 CVV。</w:t>
      </w:r>
      <w:r/>
    </w:p>
    <w:p w14:paraId="78AFFED1">
      <w:pPr>
        <w:pBdr/>
        <w:spacing/>
        <w:ind/>
        <w:rPr/>
      </w:pPr>
      <w:r>
        <w:t xml:space="preserve">- 若啟用郵件網關，將發送密碼重設連結或郵件信箱驗證碼，用於帳號安全與驗證。</w:t>
      </w:r>
      <w:r/>
    </w:p>
    <w:p w14:paraId="5841B00D">
      <w:pPr>
        <w:pBdr/>
        <w:spacing/>
        <w:ind/>
        <w:rPr/>
      </w:pPr>
      <w:r>
        <w:t xml:space="preserve">5. 身份驗證與合規（eKYC）</w:t>
      </w:r>
      <w:r/>
    </w:p>
    <w:p w14:paraId="6AC8B194">
      <w:pPr>
        <w:pBdr/>
        <w:spacing/>
        <w:ind/>
        <w:rPr/>
      </w:pPr>
      <w:r>
        <w:t xml:space="preserve">- 在合規要求或上游供應商/支付網關的規則下，某些地區或場景可能需要完成 eKYC（電子身份驗證）後方可購買、交付或使用相關 eSIM 套餐；具體以應用內提示與適用政策為準。</w:t>
      </w:r>
      <w:r/>
    </w:p>
    <w:p w14:paraId="7E578499">
      <w:pPr>
        <w:pBdr/>
        <w:spacing/>
        <w:ind/>
        <w:rPr/>
      </w:pPr>
      <w:r>
        <w:t xml:space="preserve">6. 條款更新</w:t>
      </w:r>
      <w:r/>
    </w:p>
    <w:p w14:paraId="771EA3C7">
      <w:pPr>
        <w:pBdr/>
        <w:spacing/>
        <w:ind/>
        <w:rPr/>
      </w:pPr>
      <w:r>
        <w:t xml:space="preserve">- 我們將根據功能與合規要求更新本條款；重大變更將在應用「更多資訊」頁面提示。最新版本以應用程式內展示為準。</w:t>
      </w:r>
      <w:r/>
    </w:p>
    <w:p w14:paraId="49C60681">
      <w:pPr>
        <w:pBdr/>
        <w:spacing/>
        <w:ind/>
        <w:rPr/>
      </w:pPr>
      <w:r>
        <w:t xml:space="preserve">7. 語言與衝突</w:t>
      </w:r>
      <w:r/>
    </w:p>
    <w:p w14:paraId="36FBCD10">
      <w:pPr>
        <w:pBdr/>
        <w:spacing/>
        <w:ind/>
        <w:rPr/>
      </w:pPr>
      <w:r>
        <w:t xml:space="preserve">- 本條款提供多語版本；如有差異，以中文簡體版本或更嚴格版本為準。</w:t>
      </w:r>
      <w:r/>
    </w:p>
    <w:p w14:paraId="5BFD9F49">
      <w:pPr>
        <w:pBdr/>
        <w:spacing/>
        <w:ind/>
        <w:rPr/>
      </w:pPr>
      <w:r>
        <w:t xml:space="preserve">8. 聯絡我們</w:t>
      </w:r>
      <w:r/>
    </w:p>
    <w:p w14:paraId="0CA36B89">
      <w:pPr>
        <w:pBdr/>
        <w:spacing/>
        <w:ind/>
        <w:rPr/>
      </w:pPr>
      <w:r>
        <w:t xml:space="preserve">- 支援郵箱： @esim.fit 。</w:t>
      </w:r>
      <w:r/>
      <w:r/>
      <w:r/>
    </w:p>
    <w:p w14:paraId="0B6CAF40"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ans-serif">
    <w:panose1 w:val="05040102010807070707"/>
  </w:font>
  <w:font w:name="Symbol">
    <w:panose1 w:val="05010000000000000000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AFEE01E9"/>
    <w:lvl w:ilvl="0">
      <w:isLgl w:val="false"/>
      <w:lvlJc w:val="left"/>
      <w:lvlText w:val=""/>
      <w:numFmt w:val="bullet"/>
      <w:pPr>
        <w:pBdr/>
        <w:tabs>
          <w:tab w:val="left" w:leader="none" w:pos="720"/>
        </w:tabs>
        <w:spacing/>
        <w:ind w:hanging="360" w:left="720"/>
      </w:pPr>
      <w:rPr>
        <w:rFonts w:ascii="Symbol" w:hAnsi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ascii="Courier New" w:hAnsi="Courier New" w:cs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2160"/>
        </w:tabs>
        <w:spacing/>
        <w:ind w:hanging="360" w:left="2160"/>
      </w:pPr>
      <w:rPr>
        <w:rFonts w:ascii="Wingdings" w:hAnsi="Wingdings" w:cs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left" w:leader="none" w:pos="2880"/>
        </w:tabs>
        <w:spacing/>
        <w:ind w:hanging="360" w:left="2880"/>
      </w:pPr>
      <w:rPr>
        <w:rFonts w:hint="default" w:ascii="Wingdings" w:hAnsi="Wingdings" w:cs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left" w:leader="none" w:pos="3600"/>
        </w:tabs>
        <w:spacing/>
        <w:ind w:hanging="360" w:left="3600"/>
      </w:pPr>
      <w:rPr>
        <w:rFonts w:hint="default" w:ascii="Wingdings" w:hAnsi="Wingdings" w:cs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4320"/>
        </w:tabs>
        <w:spacing/>
        <w:ind w:hanging="360" w:left="4320"/>
      </w:pPr>
      <w:rPr>
        <w:rFonts w:hint="default" w:ascii="Wingdings" w:hAnsi="Wingdings" w:cs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left" w:leader="none" w:pos="5040"/>
        </w:tabs>
        <w:spacing/>
        <w:ind w:hanging="360" w:left="5040"/>
      </w:pPr>
      <w:rPr>
        <w:rFonts w:hint="default" w:ascii="Wingdings" w:hAnsi="Wingdings" w:cs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left" w:leader="none" w:pos="5760"/>
        </w:tabs>
        <w:spacing/>
        <w:ind w:hanging="360" w:left="5760"/>
      </w:pPr>
      <w:rPr>
        <w:rFonts w:hint="default" w:ascii="Wingdings" w:hAnsi="Wingdings" w:cs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6480"/>
        </w:tabs>
        <w:spacing/>
        <w:ind w:hanging="360" w:left="6480"/>
      </w:pPr>
      <w:rPr>
        <w:rFonts w:hint="default" w:ascii="Wingdings" w:hAnsi="Wingdings" w:cs="Wingdings"/>
        <w:sz w:val="20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2"/>
    <w:basedOn w:val="885"/>
    <w:next w:val="885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0">
    <w:name w:val="Heading 4"/>
    <w:basedOn w:val="885"/>
    <w:next w:val="885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5"/>
    <w:next w:val="885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5"/>
    <w:next w:val="885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5"/>
    <w:next w:val="885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5"/>
    <w:next w:val="885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5"/>
    <w:next w:val="885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6" w:default="1">
    <w:name w:val="No List"/>
    <w:uiPriority w:val="99"/>
    <w:semiHidden/>
    <w:unhideWhenUsed/>
    <w:pPr>
      <w:pBdr/>
      <w:spacing/>
      <w:ind/>
    </w:pPr>
  </w:style>
  <w:style w:type="character" w:styleId="837">
    <w:name w:val="Heading 1 Char"/>
    <w:basedOn w:val="888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8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88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88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8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8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88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8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88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5"/>
    <w:next w:val="885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88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5"/>
    <w:next w:val="885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88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5"/>
    <w:next w:val="885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88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2">
    <w:name w:val="List Paragraph"/>
    <w:basedOn w:val="885"/>
    <w:uiPriority w:val="34"/>
    <w:qFormat/>
    <w:pPr>
      <w:pBdr/>
      <w:spacing/>
      <w:ind w:left="720"/>
      <w:contextualSpacing w:val="true"/>
    </w:pPr>
  </w:style>
  <w:style w:type="character" w:styleId="853">
    <w:name w:val="Intense Emphasis"/>
    <w:basedOn w:val="88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4">
    <w:name w:val="Intense Quote"/>
    <w:basedOn w:val="885"/>
    <w:next w:val="885"/>
    <w:link w:val="85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5">
    <w:name w:val="Intense Quote Char"/>
    <w:basedOn w:val="888"/>
    <w:link w:val="8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6">
    <w:name w:val="Intense Reference"/>
    <w:basedOn w:val="88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7">
    <w:name w:val="No Spacing"/>
    <w:basedOn w:val="885"/>
    <w:uiPriority w:val="1"/>
    <w:qFormat/>
    <w:pPr>
      <w:pBdr/>
      <w:spacing w:after="0" w:line="240" w:lineRule="auto"/>
      <w:ind/>
    </w:pPr>
  </w:style>
  <w:style w:type="character" w:styleId="858">
    <w:name w:val="Subtle Emphasis"/>
    <w:basedOn w:val="8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Subtle Reference"/>
    <w:basedOn w:val="8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8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5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88"/>
    <w:link w:val="861"/>
    <w:uiPriority w:val="99"/>
    <w:pPr>
      <w:pBdr/>
      <w:spacing/>
      <w:ind/>
    </w:pPr>
  </w:style>
  <w:style w:type="paragraph" w:styleId="863">
    <w:name w:val="Footer"/>
    <w:basedOn w:val="885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88"/>
    <w:link w:val="863"/>
    <w:uiPriority w:val="99"/>
    <w:pPr>
      <w:pBdr/>
      <w:spacing/>
      <w:ind/>
    </w:pPr>
  </w:style>
  <w:style w:type="paragraph" w:styleId="865">
    <w:name w:val="Caption"/>
    <w:basedOn w:val="885"/>
    <w:next w:val="88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5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88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5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88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FollowedHyperlink"/>
    <w:basedOn w:val="8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3">
    <w:name w:val="toc 1"/>
    <w:basedOn w:val="885"/>
    <w:next w:val="885"/>
    <w:uiPriority w:val="39"/>
    <w:unhideWhenUsed/>
    <w:pPr>
      <w:pBdr/>
      <w:spacing w:after="100"/>
      <w:ind/>
    </w:pPr>
  </w:style>
  <w:style w:type="paragraph" w:styleId="874">
    <w:name w:val="toc 2"/>
    <w:basedOn w:val="885"/>
    <w:next w:val="885"/>
    <w:uiPriority w:val="39"/>
    <w:unhideWhenUsed/>
    <w:pPr>
      <w:pBdr/>
      <w:spacing w:after="100"/>
      <w:ind w:left="220"/>
    </w:pPr>
  </w:style>
  <w:style w:type="paragraph" w:styleId="875">
    <w:name w:val="toc 3"/>
    <w:basedOn w:val="885"/>
    <w:next w:val="885"/>
    <w:uiPriority w:val="39"/>
    <w:unhideWhenUsed/>
    <w:pPr>
      <w:pBdr/>
      <w:spacing w:after="100"/>
      <w:ind w:left="440"/>
    </w:pPr>
  </w:style>
  <w:style w:type="paragraph" w:styleId="876">
    <w:name w:val="toc 4"/>
    <w:basedOn w:val="885"/>
    <w:next w:val="885"/>
    <w:uiPriority w:val="39"/>
    <w:unhideWhenUsed/>
    <w:pPr>
      <w:pBdr/>
      <w:spacing w:after="100"/>
      <w:ind w:left="660"/>
    </w:pPr>
  </w:style>
  <w:style w:type="paragraph" w:styleId="877">
    <w:name w:val="toc 5"/>
    <w:basedOn w:val="885"/>
    <w:next w:val="885"/>
    <w:uiPriority w:val="39"/>
    <w:unhideWhenUsed/>
    <w:pPr>
      <w:pBdr/>
      <w:spacing w:after="100"/>
      <w:ind w:left="880"/>
    </w:pPr>
  </w:style>
  <w:style w:type="paragraph" w:styleId="878">
    <w:name w:val="toc 6"/>
    <w:basedOn w:val="885"/>
    <w:next w:val="885"/>
    <w:uiPriority w:val="39"/>
    <w:unhideWhenUsed/>
    <w:pPr>
      <w:pBdr/>
      <w:spacing w:after="100"/>
      <w:ind w:left="1100"/>
    </w:pPr>
  </w:style>
  <w:style w:type="paragraph" w:styleId="879">
    <w:name w:val="toc 7"/>
    <w:basedOn w:val="885"/>
    <w:next w:val="885"/>
    <w:uiPriority w:val="39"/>
    <w:unhideWhenUsed/>
    <w:pPr>
      <w:pBdr/>
      <w:spacing w:after="100"/>
      <w:ind w:left="1320"/>
    </w:pPr>
  </w:style>
  <w:style w:type="paragraph" w:styleId="880">
    <w:name w:val="toc 8"/>
    <w:basedOn w:val="885"/>
    <w:next w:val="885"/>
    <w:uiPriority w:val="39"/>
    <w:unhideWhenUsed/>
    <w:pPr>
      <w:pBdr/>
      <w:spacing w:after="100"/>
      <w:ind w:left="1540"/>
    </w:pPr>
  </w:style>
  <w:style w:type="paragraph" w:styleId="881">
    <w:name w:val="toc 9"/>
    <w:basedOn w:val="885"/>
    <w:next w:val="885"/>
    <w:uiPriority w:val="39"/>
    <w:unhideWhenUsed/>
    <w:pPr>
      <w:pBdr/>
      <w:spacing w:after="100"/>
      <w:ind w:left="1760"/>
    </w:pPr>
  </w:style>
  <w:style w:type="character" w:styleId="882">
    <w:name w:val="Placeholder Text"/>
    <w:basedOn w:val="888"/>
    <w:uiPriority w:val="99"/>
    <w:semiHidden/>
    <w:pPr>
      <w:pBdr/>
      <w:spacing/>
      <w:ind/>
    </w:pPr>
    <w:rPr>
      <w:color w:val="666666"/>
    </w:rPr>
  </w:style>
  <w:style w:type="paragraph" w:styleId="883">
    <w:name w:val="TOC Heading"/>
    <w:uiPriority w:val="39"/>
    <w:unhideWhenUsed/>
    <w:pPr>
      <w:pBdr/>
      <w:spacing/>
      <w:ind/>
    </w:pPr>
  </w:style>
  <w:style w:type="paragraph" w:styleId="884">
    <w:name w:val="table of figures"/>
    <w:basedOn w:val="885"/>
    <w:next w:val="885"/>
    <w:uiPriority w:val="99"/>
    <w:unhideWhenUsed/>
    <w:pPr>
      <w:pBdr/>
      <w:spacing w:after="0" w:afterAutospacing="0"/>
      <w:ind/>
    </w:pPr>
  </w:style>
  <w:style w:type="paragraph" w:styleId="885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6">
    <w:name w:val="Heading 1"/>
    <w:basedOn w:val="885"/>
    <w:next w:val="885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87">
    <w:name w:val="Heading 3"/>
    <w:basedOn w:val="885"/>
    <w:next w:val="885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88" w:default="1">
    <w:name w:val="Default Paragraph Font"/>
    <w:uiPriority w:val="0"/>
    <w:semiHidden/>
    <w:pPr>
      <w:pBdr/>
      <w:spacing/>
      <w:ind/>
    </w:pPr>
  </w:style>
  <w:style w:type="table" w:styleId="889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0">
    <w:name w:val="Normal (Web)"/>
    <w:basedOn w:val="885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1">
    <w:name w:val="Strong"/>
    <w:basedOn w:val="888"/>
    <w:uiPriority w:val="0"/>
    <w:qFormat/>
    <w:pPr>
      <w:pBdr/>
      <w:spacing/>
      <w:ind/>
    </w:pPr>
    <w:rPr>
      <w:b/>
    </w:rPr>
  </w:style>
  <w:style w:type="character" w:styleId="892">
    <w:name w:val="Emphasis"/>
    <w:basedOn w:val="888"/>
    <w:uiPriority w:val="0"/>
    <w:qFormat/>
    <w:pPr>
      <w:pBdr/>
      <w:spacing/>
      <w:ind/>
    </w:pPr>
    <w:rPr>
      <w:i/>
    </w:rPr>
  </w:style>
  <w:style w:type="character" w:styleId="893">
    <w:name w:val="Hyperlink"/>
    <w:basedOn w:val="888"/>
    <w:uiPriority w:val="0"/>
    <w:pPr>
      <w:pBdr/>
      <w:spacing/>
      <w:ind/>
    </w:pPr>
    <w:rPr>
      <w:color w:val="0000ff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3</cp:revision>
  <dcterms:created xsi:type="dcterms:W3CDTF">2025-07-30T00:14:00Z</dcterms:created>
  <dcterms:modified xsi:type="dcterms:W3CDTF">2025-12-10T06:04:55Z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