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CF2914B">
      <w:pPr>
        <w:pStyle w:val="88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Termos de Uso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1DF7BC4A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202F60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1. Conta e Segurança</w:t>
      </w:r>
      <w:r>
        <w:rPr>
          <w:b w:val="0"/>
          <w:bCs w:val="0"/>
        </w:rPr>
      </w:r>
    </w:p>
    <w:p w14:paraId="010C2E7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7C59189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Mantenha sua conta e senha em segurança. Caso detecte alguma atividade de login incomum ou riscos de segurança, altere sua senha imediatamente ou entre em contato conosco.</w:t>
      </w:r>
      <w:r>
        <w:rPr>
          <w:b w:val="0"/>
          <w:bCs w:val="0"/>
        </w:rPr>
      </w:r>
    </w:p>
    <w:p w14:paraId="5FF37772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08518A6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Ao fazer login com a Apple, utilizamos apenas o ID de usuário fornecido pela Apple para associação à conta e não lemos automaticamente seu endereço de e-mail completo.</w:t>
      </w:r>
      <w:r>
        <w:rPr>
          <w:b w:val="0"/>
          <w:bCs w:val="0"/>
        </w:rPr>
      </w:r>
    </w:p>
    <w:p w14:paraId="1B99D49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EDB51DA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2. Compra e Pagamento</w:t>
      </w:r>
      <w:r>
        <w:rPr>
          <w:b w:val="0"/>
          <w:bCs w:val="0"/>
        </w:rPr>
      </w:r>
    </w:p>
    <w:p w14:paraId="4DE8AE5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B74ACD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Os pagamentos dos pedidos são processados ​​por meio de um gateway de pagamento terceirizado; não armazenamos números de cartão completos nem códigos CVV.</w:t>
      </w:r>
      <w:r>
        <w:rPr>
          <w:b w:val="0"/>
          <w:bCs w:val="0"/>
        </w:rPr>
      </w:r>
    </w:p>
    <w:p w14:paraId="2D25317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045AD3E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Os preços são exibidos na moeda selecionada; o valor final a ser pago pode ser afetado por taxas de câmbio, tarifas bancárias ou do canal de pagamento, prevalecendo o resultado do canal de pagamento.</w:t>
      </w:r>
      <w:r>
        <w:rPr>
          <w:b w:val="0"/>
          <w:bCs w:val="0"/>
        </w:rPr>
      </w:r>
    </w:p>
    <w:p w14:paraId="47DDEAD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6A2B6EA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3. Entrega e Instalação</w:t>
      </w:r>
      <w:r>
        <w:rPr>
          <w:b w:val="0"/>
          <w:bCs w:val="0"/>
        </w:rPr>
      </w:r>
    </w:p>
    <w:p w14:paraId="0737E1E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FEC63D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Após o pagamento ser concluído com sucesso, você poderá visualizar as informações de instalação do eSIM no aplicativo e concluir a instalação e ativação conforme as instruções do sistema.</w:t>
      </w:r>
      <w:r>
        <w:rPr>
          <w:b w:val="0"/>
          <w:bCs w:val="0"/>
        </w:rPr>
      </w:r>
    </w:p>
    <w:p w14:paraId="21ADD9F2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02C241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A compatibilidade do dispositivo, a cobertura da rede e a qualidade do sinal são afetadas pela operadora e pela versão do sistema do dispositivo; o uso internacional pode exigir a ativação do roaming de dados ou a seleção manual de uma rede.</w:t>
      </w:r>
      <w:r>
        <w:rPr>
          <w:b w:val="0"/>
          <w:bCs w:val="0"/>
        </w:rPr>
      </w:r>
    </w:p>
    <w:p w14:paraId="02874BA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7F733CA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4. Renovação e Reutilização</w:t>
      </w:r>
      <w:r>
        <w:rPr>
          <w:b w:val="0"/>
          <w:bCs w:val="0"/>
        </w:rPr>
      </w:r>
    </w:p>
    <w:p w14:paraId="23869B6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785B089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Os planos atuais geralmente não permitem renovação; um novo plano deve ser adquirido após o consumo de dados ou o vencimento do plano.</w:t>
      </w:r>
      <w:r>
        <w:rPr>
          <w:b w:val="0"/>
          <w:bCs w:val="0"/>
        </w:rPr>
      </w:r>
    </w:p>
    <w:p w14:paraId="271ECDF9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470001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Um eSIM instalado não pode ser reutilizado em um novo pedido.</w:t>
      </w:r>
      <w:r>
        <w:rPr>
          <w:b w:val="0"/>
          <w:bCs w:val="0"/>
        </w:rPr>
      </w:r>
    </w:p>
    <w:p w14:paraId="7593B60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41A056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5. Uso e Exibição</w:t>
      </w:r>
      <w:r>
        <w:rPr>
          <w:b w:val="0"/>
          <w:bCs w:val="0"/>
        </w:rPr>
      </w:r>
    </w:p>
    <w:p w14:paraId="6351CB0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48485B7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O uso (como dados restantes e tempo de expiração) é retornado pela interface upstream e exibido no aplicativo; podem ocorrer atrasos razoáveis ​​na sincronização entre upstream e downstream.</w:t>
      </w:r>
      <w:r>
        <w:rPr>
          <w:b w:val="0"/>
          <w:bCs w:val="0"/>
        </w:rPr>
      </w:r>
    </w:p>
    <w:p w14:paraId="513511F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4E4ED6A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6. Verificação de Identidade e Conformidade (eKYC)</w:t>
      </w:r>
      <w:r>
        <w:rPr>
          <w:b w:val="0"/>
          <w:bCs w:val="0"/>
        </w:rPr>
      </w:r>
    </w:p>
    <w:p w14:paraId="49756BA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B5ACB7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Em regiões ou cenários onde a verificação de identidade é exigida por leis e regulamentos, fornecedores upstream ou gateways de pagamento, você se compromete a fornecer informações de identidade verdadeiras, precisas e completas, conforme solicitado, e a </w:t>
      </w:r>
      <w:r>
        <w:rPr>
          <w:rFonts w:hint="default" w:ascii="sans-serif" w:hAnsi="sans-serif" w:eastAsia="sans-serif" w:cs="sans-serif"/>
          <w:b w:val="0"/>
          <w:bCs w:val="0"/>
        </w:rPr>
        <w:t xml:space="preserve">concluir o processo eKYC.</w:t>
      </w:r>
      <w:r>
        <w:rPr>
          <w:b w:val="0"/>
          <w:bCs w:val="0"/>
        </w:rPr>
      </w:r>
    </w:p>
    <w:p w14:paraId="5959655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A65F4B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Caso você se recuse ou não consiga concluir o eKYC, a compra, a entrega ou o uso dos pedidos relacionados poderão ser restringidos ou impedidos de continuar, e não seremos responsáveis ​​por quaisquer perdas indiretas decorrentes disso.</w:t>
      </w:r>
      <w:r>
        <w:rPr>
          <w:b w:val="0"/>
          <w:bCs w:val="0"/>
        </w:rPr>
      </w:r>
    </w:p>
    <w:p w14:paraId="4760144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FEB198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Você não deve fornecer informações falsificadas ou que se façam passar por outra pessoa; Uma vez detectadas irregularidades, poderemos tomar medidas restritivas (incluindo, entre outras, a suspensão de serviços, o encerramento de sessões e a recusa de ree</w:t>
      </w:r>
      <w:r>
        <w:rPr>
          <w:rFonts w:hint="default" w:ascii="sans-serif" w:hAnsi="sans-serif" w:eastAsia="sans-serif" w:cs="sans-serif"/>
          <w:b w:val="0"/>
          <w:bCs w:val="0"/>
        </w:rPr>
        <w:t xml:space="preserve">mbolsos) e cooperar com as autoridades reguladoras ou entidades competentes em investigações, quando necessário.</w:t>
      </w:r>
      <w:r>
        <w:rPr>
          <w:b w:val="0"/>
          <w:bCs w:val="0"/>
        </w:rPr>
      </w:r>
    </w:p>
    <w:p w14:paraId="3FFCC88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186BFD3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7. Reembolsos e Recursos</w:t>
      </w:r>
      <w:r>
        <w:rPr>
          <w:b w:val="0"/>
          <w:bCs w:val="0"/>
        </w:rPr>
      </w:r>
    </w:p>
    <w:p w14:paraId="3582182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4040D9D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Em caso de problemas com pagamento, ativação ou utilização, você pode solicitar um reembolso ou apresentar um recurso na página do pedido ou através do serviço de atendimento ao cliente.</w:t>
      </w:r>
      <w:r>
        <w:rPr>
          <w:b w:val="0"/>
          <w:bCs w:val="0"/>
        </w:rPr>
      </w:r>
    </w:p>
    <w:p w14:paraId="0D18F7F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4D959F3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Os reembolsos estão sujeitos às regras do canal de pagamento e do fornecedor; faremos o possível para prestar suporte e manter você informado sobre o andamento do processo.</w:t>
      </w:r>
      <w:r>
        <w:rPr>
          <w:b w:val="0"/>
          <w:bCs w:val="0"/>
        </w:rPr>
      </w:r>
    </w:p>
    <w:p w14:paraId="6AFDFFA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357D3DD6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8. Violações e Rescisão</w:t>
      </w:r>
      <w:r>
        <w:rPr>
          <w:b w:val="0"/>
          <w:bCs w:val="0"/>
        </w:rPr>
      </w:r>
    </w:p>
    <w:p w14:paraId="154D549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F1181F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Em casos de violações ou abusos evidentes (incluindo, entre outros, o descumprimento de restrições do sistema, atividades fraudulentas e roubo de identidade), poderemos tomar medidas restritivas, como a suspensão da exibição do uso, a recusa de reembolsos</w:t>
      </w:r>
      <w:r>
        <w:rPr>
          <w:rFonts w:hint="default" w:ascii="sans-serif" w:hAnsi="sans-serif" w:eastAsia="sans-serif" w:cs="sans-serif"/>
          <w:b w:val="0"/>
          <w:bCs w:val="0"/>
        </w:rPr>
        <w:t xml:space="preserve"> e o encerramento de sessões.</w:t>
      </w:r>
      <w:r>
        <w:rPr>
          <w:b w:val="0"/>
          <w:bCs w:val="0"/>
        </w:rPr>
      </w:r>
    </w:p>
    <w:p w14:paraId="642F5D5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22B7E32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Em caso de interrupção do serviço devido a força maior ou falhas em sistemas de terceiros, não seremos responsáveis ​​por quaisquer perdas indiretas incorridas, mas prestaremos suporte adequado.</w:t>
      </w:r>
      <w:r>
        <w:rPr>
          <w:b w:val="0"/>
          <w:bCs w:val="0"/>
        </w:rPr>
      </w:r>
    </w:p>
    <w:p w14:paraId="17FF64A3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680860B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9. Legislação Aplicável</w:t>
      </w:r>
      <w:r>
        <w:rPr>
          <w:b w:val="0"/>
          <w:bCs w:val="0"/>
        </w:rPr>
      </w:r>
    </w:p>
    <w:p w14:paraId="338EC59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20901428">
      <w:pPr>
        <w:suppressLineNumbers w:val="false"/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Ao utilizar o serviço, você deve cumprir as leis, regulamentos e políticas de comunicação aplicáveis ​​em sua localidade; estes termos não limitam os direitos obrigatórios garantidos por lei.</w:t>
      </w:r>
      <w:r>
        <w:rPr>
          <w:rFonts w:ascii="Arial" w:hAnsi="Arial" w:cs="Arial"/>
          <w:b w:val="0"/>
          <w:bCs w:val="0"/>
        </w:rPr>
      </w:r>
      <w:r>
        <w:rPr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AFE90A0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EF7F8F12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9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1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1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1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1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1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91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91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91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91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2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4">
    <w:name w:val="Header"/>
    <w:basedOn w:val="888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Header Char"/>
    <w:basedOn w:val="891"/>
    <w:link w:val="864"/>
    <w:uiPriority w:val="99"/>
    <w:pPr>
      <w:pBdr/>
      <w:spacing/>
      <w:ind/>
    </w:pPr>
  </w:style>
  <w:style w:type="paragraph" w:styleId="866">
    <w:name w:val="Footer"/>
    <w:basedOn w:val="88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Footer Char"/>
    <w:basedOn w:val="891"/>
    <w:link w:val="866"/>
    <w:uiPriority w:val="99"/>
    <w:pPr>
      <w:pBdr/>
      <w:spacing/>
      <w:ind/>
    </w:pPr>
  </w:style>
  <w:style w:type="paragraph" w:styleId="86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91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9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9">
    <w:name w:val="Heading 1"/>
    <w:basedOn w:val="888"/>
    <w:next w:val="888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0">
    <w:name w:val="Heading 3"/>
    <w:basedOn w:val="888"/>
    <w:next w:val="888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1" w:default="1">
    <w:name w:val="Default Paragraph Font"/>
    <w:uiPriority w:val="0"/>
    <w:semiHidden/>
    <w:pPr>
      <w:pBdr/>
      <w:spacing/>
      <w:ind/>
    </w:pPr>
  </w:style>
  <w:style w:type="table" w:styleId="892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Normal (Web)"/>
    <w:basedOn w:val="888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4">
    <w:name w:val="Strong"/>
    <w:basedOn w:val="891"/>
    <w:uiPriority w:val="0"/>
    <w:qFormat/>
    <w:pPr>
      <w:pBdr/>
      <w:spacing/>
      <w:ind/>
    </w:pPr>
    <w:rPr>
      <w:b/>
    </w:rPr>
  </w:style>
  <w:style w:type="character" w:styleId="895">
    <w:name w:val="Hyperlink"/>
    <w:basedOn w:val="891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2025-12-10T05:56:50Z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