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F2914B">
      <w:pPr>
        <w:pStyle w:val="67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 xml:space="preserve">使用条款</w:t>
      </w:r>
      <w:r>
        <w:rPr>
          <w:rFonts w:ascii="sans-serif" w:hAnsi="sans-serif" w:eastAsia="sans-serif" w:cs="sans-serif"/>
          <w:b/>
          <w:bCs/>
        </w:rPr>
      </w:r>
    </w:p>
    <w:p w14:paraId="76E1D857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sans-serif" w:hAnsi="sans-serif" w:eastAsia="sans-serif" w:cs="sans-serif"/>
          <w:b/>
          <w:bCs/>
        </w:rPr>
        <w:br/>
      </w:r>
      <w:r>
        <w:rPr>
          <w:rFonts w:hint="default" w:ascii="Arial" w:hAnsi="Arial" w:eastAsia="Arial" w:cs="Arial"/>
          <w:b w:val="0"/>
          <w:bCs w:val="0"/>
        </w:rPr>
        <w:t xml:space="preserve">1. 账号与安全</w:t>
      </w:r>
      <w:r>
        <w:rPr>
          <w:rFonts w:ascii="Arial" w:hAnsi="Arial" w:eastAsia="Arial" w:cs="Arial"/>
          <w:b w:val="0"/>
          <w:bCs w:val="0"/>
        </w:rPr>
      </w:r>
    </w:p>
    <w:p w14:paraId="703A1C03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您需妥善保管账号与密码；如发现异常登录或安全风险，请及时修改密码或联系我们。</w:t>
      </w:r>
      <w:r>
        <w:rPr>
          <w:rFonts w:ascii="Arial" w:hAnsi="Arial" w:eastAsia="Arial" w:cs="Arial"/>
          <w:b w:val="0"/>
          <w:bCs w:val="0"/>
        </w:rPr>
      </w:r>
    </w:p>
    <w:p w14:paraId="78657EFD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使用 Apple 登录时，我们仅使用其返回的用户标识进行账号关联，不会自动读取您的完整邮箱。</w:t>
      </w:r>
      <w:r>
        <w:rPr>
          <w:rFonts w:ascii="Arial" w:hAnsi="Arial" w:eastAsia="Arial" w:cs="Arial"/>
          <w:b w:val="0"/>
          <w:bCs w:val="0"/>
        </w:rPr>
      </w:r>
    </w:p>
    <w:p w14:paraId="6EB96DCD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2. 购买与支付</w:t>
      </w:r>
      <w:r>
        <w:rPr>
          <w:rFonts w:ascii="Arial" w:hAnsi="Arial" w:eastAsia="Arial" w:cs="Arial"/>
          <w:b w:val="0"/>
          <w:bCs w:val="0"/>
        </w:rPr>
      </w:r>
    </w:p>
    <w:p w14:paraId="378B1E42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订单支付通过第三方支付网关完成；我们不保存完整卡号或 CVV。</w:t>
      </w:r>
      <w:r>
        <w:rPr>
          <w:rFonts w:ascii="Arial" w:hAnsi="Arial" w:eastAsia="Arial" w:cs="Arial"/>
          <w:b w:val="0"/>
          <w:bCs w:val="0"/>
        </w:rPr>
      </w:r>
    </w:p>
    <w:p w14:paraId="43D2F735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价格以您选择的货币显示；实际结算金额可能受汇率、银行或支付渠道手续费影响，以支付渠道结果为准。</w:t>
      </w:r>
      <w:r>
        <w:rPr>
          <w:rFonts w:ascii="Arial" w:hAnsi="Arial" w:eastAsia="Arial" w:cs="Arial"/>
          <w:b w:val="0"/>
          <w:bCs w:val="0"/>
        </w:rPr>
      </w:r>
    </w:p>
    <w:p w14:paraId="481DB178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3. 交付与安装</w:t>
      </w:r>
      <w:r>
        <w:rPr>
          <w:rFonts w:ascii="Arial" w:hAnsi="Arial" w:eastAsia="Arial" w:cs="Arial"/>
          <w:b w:val="0"/>
          <w:bCs w:val="0"/>
        </w:rPr>
      </w:r>
    </w:p>
    <w:p w14:paraId="470C9999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支付成功后，您可在应用内查看 eSIM 安装信息并按系统提示完成安装与激活。</w:t>
      </w:r>
      <w:r>
        <w:rPr>
          <w:rFonts w:ascii="Arial" w:hAnsi="Arial" w:eastAsia="Arial" w:cs="Arial"/>
          <w:b w:val="0"/>
          <w:bCs w:val="0"/>
        </w:rPr>
      </w:r>
    </w:p>
    <w:p w14:paraId="3C809A67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设备兼容性、网络覆盖与信号质量受运营商与设备系统版本影响；跨境使用可能需要启用数据漫游或手动选网。</w:t>
      </w:r>
      <w:r>
        <w:rPr>
          <w:rFonts w:ascii="Arial" w:hAnsi="Arial" w:eastAsia="Arial" w:cs="Arial"/>
          <w:b w:val="0"/>
          <w:bCs w:val="0"/>
        </w:rPr>
      </w:r>
    </w:p>
    <w:p w14:paraId="2E55C7AB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4. 续费与复用</w:t>
      </w:r>
      <w:r>
        <w:rPr>
          <w:rFonts w:ascii="Arial" w:hAnsi="Arial" w:eastAsia="Arial" w:cs="Arial"/>
          <w:b w:val="0"/>
          <w:bCs w:val="0"/>
        </w:rPr>
      </w:r>
    </w:p>
    <w:p w14:paraId="5EF60B98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当前套餐通常不支持续费；流量用尽或到期后需购买新套餐。</w:t>
      </w:r>
      <w:r>
        <w:rPr>
          <w:rFonts w:ascii="Arial" w:hAnsi="Arial" w:eastAsia="Arial" w:cs="Arial"/>
          <w:b w:val="0"/>
          <w:bCs w:val="0"/>
        </w:rPr>
      </w:r>
    </w:p>
    <w:p w14:paraId="0140CEE3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已安装的 eSIM 不可复用到新的订单。</w:t>
      </w:r>
      <w:r>
        <w:rPr>
          <w:rFonts w:ascii="Arial" w:hAnsi="Arial" w:eastAsia="Arial" w:cs="Arial"/>
          <w:b w:val="0"/>
          <w:bCs w:val="0"/>
        </w:rPr>
      </w:r>
    </w:p>
    <w:p w14:paraId="24A3BEF6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5. 用量与展示</w:t>
      </w:r>
      <w:r>
        <w:rPr>
          <w:rFonts w:ascii="Arial" w:hAnsi="Arial" w:eastAsia="Arial" w:cs="Arial"/>
          <w:b w:val="0"/>
          <w:bCs w:val="0"/>
        </w:rPr>
      </w:r>
    </w:p>
    <w:p w14:paraId="72EE40AE">
      <w:pPr>
        <w:suppressLineNumbers w:val="false"/>
        <w:pBdr/>
        <w:spacing/>
        <w:ind/>
        <w:rPr>
          <w:rFonts w:hint="default" w:ascii="Arial" w:hAnsi="Arial" w:eastAsia="Arial" w:cs="Arial"/>
          <w:b w:val="0"/>
          <w:bCs w:val="0"/>
          <w:highlight w:val="none"/>
        </w:rPr>
      </w:pPr>
      <w:r>
        <w:rPr>
          <w:rFonts w:hint="default" w:ascii="Arial" w:hAnsi="Arial" w:eastAsia="Arial" w:cs="Arial"/>
          <w:b w:val="0"/>
          <w:bCs w:val="0"/>
        </w:rPr>
        <w:t xml:space="preserve">- 用量（如数据剩余、到期时间）由上游接口返回并在应用内展示；上下游同步存在合理延迟。</w:t>
      </w:r>
      <w:r>
        <w:rPr>
          <w:rFonts w:hint="default" w:ascii="Arial" w:hAnsi="Arial" w:cs="Arial"/>
          <w:b w:val="0"/>
          <w:bCs w:val="0"/>
        </w:rPr>
      </w:r>
      <w:r>
        <w:rPr>
          <w:rFonts w:hint="default" w:ascii="Arial" w:hAnsi="Arial" w:cs="Arial"/>
          <w:b w:val="0"/>
          <w:bCs w:val="0"/>
        </w:rPr>
      </w:r>
      <w:r>
        <w:rPr>
          <w:rFonts w:hint="default" w:ascii="Arial" w:hAnsi="Arial" w:cs="Arial"/>
          <w:b w:val="0"/>
          <w:bCs w:val="0"/>
        </w:rPr>
      </w:r>
      <w:r>
        <w:rPr>
          <w:rFonts w:hint="default" w:ascii="Arial" w:hAnsi="Arial" w:cs="Arial"/>
          <w:b w:val="0"/>
          <w:bCs w:val="0"/>
        </w:rPr>
      </w:r>
      <w:r>
        <w:rPr>
          <w:rFonts w:hint="default" w:ascii="Arial" w:hAnsi="Arial" w:eastAsia="Arial" w:cs="Arial"/>
          <w:b w:val="0"/>
          <w:bCs w:val="0"/>
          <w:highlight w:val="none"/>
        </w:rPr>
      </w:r>
    </w:p>
    <w:p w14:paraId="390E0717">
      <w:pPr>
        <w:suppressLineNumbers w:val="false"/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  <w:highlight w:val="none"/>
          <w:lang w:val="zh-Hans"/>
        </w:rPr>
        <w:t xml:space="preserve">6. </w:t>
      </w:r>
      <w:r>
        <w:rPr>
          <w:rFonts w:hint="default" w:ascii="Arial" w:hAnsi="Arial" w:cs="Arial"/>
          <w:b w:val="0"/>
          <w:bCs w:val="0"/>
        </w:rPr>
      </w:r>
      <w:r>
        <w:rPr>
          <w:rFonts w:hint="default" w:ascii="Arial" w:hAnsi="Arial" w:eastAsia="Arial" w:cs="Arial"/>
          <w:b w:val="0"/>
          <w:bCs w:val="0"/>
          <w:highlight w:val="none"/>
          <w:lang w:val="zh-Hans"/>
        </w:rPr>
        <w:t xml:space="preserve">身份验证与合规（eKYC）</w:t>
      </w:r>
      <w:r/>
      <w:r>
        <w:rPr>
          <w:rFonts w:hint="default" w:ascii="Arial" w:hAnsi="Arial" w:eastAsia="Arial" w:cs="Arial"/>
          <w:b w:val="0"/>
          <w:bCs w:val="0"/>
          <w:highlight w:val="none"/>
          <w:lang w:val="zh-Hans"/>
        </w:rPr>
      </w:r>
      <w:r/>
      <w:r>
        <w:rPr>
          <w:rFonts w:hint="default" w:ascii="Arial" w:hAnsi="Arial" w:eastAsia="Arial" w:cs="Arial"/>
          <w:b w:val="0"/>
          <w:bCs w:val="0"/>
          <w:highlight w:val="none"/>
          <w:lang w:val="zh-Hans"/>
        </w:rPr>
      </w:r>
    </w:p>
    <w:p w14:paraId="0E1D8D01">
      <w:pPr>
        <w:suppressLineNumbers w:val="false"/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  <w:highlight w:val="none"/>
          <w:lang w:val="zh-Hans"/>
        </w:rPr>
        <w:t xml:space="preserve">- 在法律法规、上游供应商或支付网关要求身份核验的地区或场景，您承诺按提示提供真实、准确与完整的身份信息，并完成 eKYC 流程。</w:t>
      </w:r>
      <w:r/>
    </w:p>
    <w:p w14:paraId="68AABBA2">
      <w:pPr>
        <w:suppressLineNumbers w:val="false"/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  <w:highlight w:val="none"/>
          <w:lang w:val="zh-Hans"/>
        </w:rPr>
        <w:t xml:space="preserve">- 如您拒绝或未通过 eKYC，相关订单的购买、交付或使用可能受限或无法继续，我们不对由此产生的间接损失承担责任。</w:t>
      </w:r>
      <w:r/>
    </w:p>
    <w:p w14:paraId="6465838B">
      <w:pPr>
        <w:suppressLineNumbers w:val="false"/>
        <w:pBdr/>
        <w:spacing/>
        <w:ind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highlight w:val="none"/>
          <w:lang w:val="zh-Hans"/>
        </w:rPr>
        <w:t xml:space="preserve">- 您不得提供伪造或冒用他人身份的资料；一经发现，我们可采取限制措施（包括但不限于暂停服务、关闭会话、拒绝退款），并在必要时配合监管或相关方进行调查。</w:t>
      </w:r>
      <w:r/>
      <w:r>
        <w:rPr>
          <w:rFonts w:hint="default" w:ascii="Arial" w:hAnsi="Arial" w:eastAsia="Arial" w:cs="Arial"/>
          <w:b w:val="0"/>
          <w:bCs w:val="0"/>
          <w:highlight w:val="none"/>
          <w:lang w:val="zh-Hans"/>
        </w:rPr>
      </w:r>
      <w:r>
        <w:rPr>
          <w:rFonts w:hint="default" w:ascii="Arial" w:hAnsi="Arial" w:eastAsia="Arial" w:cs="Arial"/>
          <w:b w:val="0"/>
          <w:bCs w:val="0"/>
          <w:highlight w:val="none"/>
        </w:rPr>
      </w:r>
      <w:r/>
    </w:p>
    <w:p w14:paraId="2B5573FA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lang w:val="zh-Hans"/>
        </w:rPr>
        <w:t xml:space="preserve">7</w:t>
      </w:r>
      <w:r>
        <w:rPr>
          <w:rFonts w:hint="default" w:ascii="Arial" w:hAnsi="Arial" w:eastAsia="Arial" w:cs="Arial"/>
          <w:b w:val="0"/>
          <w:bCs w:val="0"/>
        </w:rPr>
        <w:t xml:space="preserve">. 退款与申诉</w:t>
      </w:r>
      <w:r>
        <w:rPr>
          <w:rFonts w:ascii="Arial" w:hAnsi="Arial" w:eastAsia="Arial" w:cs="Arial"/>
          <w:b w:val="0"/>
          <w:bCs w:val="0"/>
        </w:rPr>
      </w:r>
    </w:p>
    <w:p w14:paraId="301FDDD3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如遇支付、激活或使用问题，您可在订单页面或通过客服发起退款或申诉。</w:t>
      </w:r>
      <w:r>
        <w:rPr>
          <w:rFonts w:ascii="Arial" w:hAnsi="Arial" w:eastAsia="Arial" w:cs="Arial"/>
          <w:b w:val="0"/>
          <w:bCs w:val="0"/>
        </w:rPr>
      </w:r>
    </w:p>
    <w:p w14:paraId="73929CD1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退款受支付渠道与上游供应商规则约束；我们将尽力提供支持与进度反馈。</w:t>
      </w:r>
      <w:r>
        <w:rPr>
          <w:rFonts w:ascii="Arial" w:hAnsi="Arial" w:eastAsia="Arial" w:cs="Arial"/>
          <w:b w:val="0"/>
          <w:bCs w:val="0"/>
        </w:rPr>
      </w:r>
    </w:p>
    <w:p w14:paraId="73A7B060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lang w:val="zh-Hans"/>
        </w:rPr>
        <w:t xml:space="preserve">8</w:t>
      </w:r>
      <w:r>
        <w:rPr>
          <w:rFonts w:hint="default" w:ascii="Arial" w:hAnsi="Arial" w:eastAsia="Arial" w:cs="Arial"/>
          <w:b w:val="0"/>
          <w:bCs w:val="0"/>
        </w:rPr>
        <w:t xml:space="preserve">. 违规与终止</w:t>
      </w:r>
      <w:r>
        <w:rPr>
          <w:rFonts w:ascii="Arial" w:hAnsi="Arial" w:eastAsia="Arial" w:cs="Arial"/>
          <w:b w:val="0"/>
          <w:bCs w:val="0"/>
        </w:rPr>
      </w:r>
    </w:p>
    <w:p w14:paraId="5A0110B4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对明显违规或滥用行为（包括但不限于绕过系统限制、刷量、仿冒身份），我们可采取限制措施，包括暂停用量展示、拒绝退款、关闭会话等。</w:t>
      </w:r>
      <w:r>
        <w:rPr>
          <w:rFonts w:ascii="Arial" w:hAnsi="Arial" w:eastAsia="Arial" w:cs="Arial"/>
          <w:b w:val="0"/>
          <w:bCs w:val="0"/>
        </w:rPr>
      </w:r>
    </w:p>
    <w:p w14:paraId="4F747ECD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如因不可抗力或第三方系统故障导致服务中断，我们不承担由此产生的间接损失，但将提供合理支持。</w:t>
      </w:r>
      <w:r>
        <w:rPr>
          <w:rFonts w:ascii="Arial" w:hAnsi="Arial" w:eastAsia="Arial" w:cs="Arial"/>
          <w:b w:val="0"/>
          <w:bCs w:val="0"/>
        </w:rPr>
      </w:r>
    </w:p>
    <w:p w14:paraId="6E6721F6">
      <w:pPr>
        <w:suppressLineNumbers w:val="false"/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  <w:lang w:val="zh-Hans"/>
        </w:rPr>
        <w:t xml:space="preserve">9</w:t>
      </w:r>
      <w:r>
        <w:rPr>
          <w:rFonts w:hint="default" w:ascii="Arial" w:hAnsi="Arial" w:eastAsia="Arial" w:cs="Arial"/>
          <w:b w:val="0"/>
          <w:bCs w:val="0"/>
        </w:rPr>
        <w:t xml:space="preserve">. 适用法律</w:t>
      </w:r>
      <w:r>
        <w:rPr>
          <w:rFonts w:ascii="Arial" w:hAnsi="Arial" w:eastAsia="Arial" w:cs="Arial"/>
          <w:b w:val="0"/>
          <w:bCs w:val="0"/>
        </w:rPr>
      </w:r>
    </w:p>
    <w:p w14:paraId="4F6E4EFB">
      <w:pPr>
        <w:suppressLineNumbers w:val="false"/>
        <w:pBdr/>
        <w:spacing/>
        <w:ind/>
        <w:rPr>
          <w:rFonts w:hint="default"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您在使用服务时需遵守所在地适用法律法规与通信政策；本条款不限制法律赋予的强制性权利。</w:t>
      </w:r>
      <w:r>
        <w:rPr>
          <w:rFonts w:hint="default" w:ascii="Arial" w:hAnsi="Arial" w:eastAsia="Arial" w:cs="Arial"/>
          <w:b w:val="0"/>
          <w:bCs w:val="0"/>
        </w:rPr>
      </w:r>
      <w:r>
        <w:rPr>
          <w:rFonts w:ascii="Arial" w:hAnsi="Arial" w:eastAsia="Arial" w:cs="Arial"/>
          <w:b w:val="0"/>
          <w:bCs w:val="0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宋体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AFE90A0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EF7F8F1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69"/>
    <w:next w:val="66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2">
    <w:name w:val="Heading 4"/>
    <w:basedOn w:val="669"/>
    <w:next w:val="66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9"/>
    <w:next w:val="66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9"/>
    <w:next w:val="66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9"/>
    <w:next w:val="66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9"/>
    <w:next w:val="66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9"/>
    <w:next w:val="66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72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2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9"/>
    <w:next w:val="66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9"/>
    <w:next w:val="66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9"/>
    <w:next w:val="66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9"/>
    <w:next w:val="66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2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2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2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2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670">
    <w:name w:val="Heading 1"/>
    <w:basedOn w:val="669"/>
    <w:next w:val="669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671">
    <w:name w:val="Heading 3"/>
    <w:basedOn w:val="669"/>
    <w:next w:val="669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672" w:default="1">
    <w:name w:val="Default Paragraph Font"/>
    <w:uiPriority w:val="0"/>
    <w:semiHidden/>
    <w:pPr>
      <w:pBdr/>
      <w:spacing/>
      <w:ind/>
    </w:pPr>
  </w:style>
  <w:style w:type="table" w:styleId="673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4">
    <w:name w:val="Normal (Web)"/>
    <w:basedOn w:val="669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675">
    <w:name w:val="Strong"/>
    <w:basedOn w:val="672"/>
    <w:uiPriority w:val="0"/>
    <w:qFormat/>
    <w:pPr>
      <w:pBdr/>
      <w:spacing/>
      <w:ind/>
    </w:pPr>
    <w:rPr>
      <w:b/>
    </w:rPr>
  </w:style>
  <w:style w:type="character" w:styleId="676">
    <w:name w:val="Hyperlink"/>
    <w:basedOn w:val="672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1</cp:revision>
  <dcterms:created xsi:type="dcterms:W3CDTF">2025-07-30T00:14:00Z</dcterms:created>
  <dcterms:modified xsi:type="dcterms:W3CDTF">2025-12-10T05:26:14Z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