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CF2914B">
      <w:pPr>
        <w:pStyle w:val="889"/>
        <w:keepNext w:val="false"/>
        <w:keepLines w:val="false"/>
        <w:widowControl w:val="true"/>
        <w:suppressLineNumbers w:val="false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after="0" w:afterAutospacing="0" w:before="0" w:beforeAutospacing="0"/>
        <w:ind w:right="0" w:left="0"/>
        <w:rPr>
          <w:rFonts w:ascii="sans-serif" w:hAnsi="sans-serif" w:eastAsia="sans-serif" w:cs="sans-serif"/>
          <w:b/>
          <w:bCs/>
        </w:rPr>
      </w:pPr>
      <w:r>
        <w:rPr>
          <w:rFonts w:hint="default" w:ascii="sans-serif" w:hAnsi="sans-serif" w:eastAsia="sans-serif" w:cs="sans-serif"/>
          <w:b/>
          <w:bCs/>
        </w:rPr>
      </w:r>
      <w:r>
        <w:rPr>
          <w:rFonts w:hint="default" w:ascii="sans-serif" w:hAnsi="sans-serif" w:eastAsia="sans-serif" w:cs="sans-serif"/>
          <w:b/>
          <w:bCs/>
        </w:rPr>
        <w:t xml:space="preserve">使用條款</w:t>
      </w:r>
      <w:r>
        <w:rPr>
          <w:rFonts w:hint="default" w:ascii="sans-serif" w:hAnsi="sans-serif" w:eastAsia="sans-serif" w:cs="sans-serif"/>
          <w:b/>
          <w:bCs/>
        </w:rPr>
      </w:r>
      <w:r>
        <w:rPr>
          <w:rFonts w:ascii="sans-serif" w:hAnsi="sans-serif" w:eastAsia="sans-serif" w:cs="sans-serif"/>
          <w:b/>
          <w:bCs/>
        </w:rPr>
      </w:r>
    </w:p>
    <w:p w14:paraId="63092C96">
      <w:pPr>
        <w:suppressLineNumbers w:val="false"/>
        <w:pBdr/>
        <w:spacing/>
        <w:ind/>
        <w:rPr>
          <w:rFonts w:hint="default" w:ascii="sans-serif" w:hAnsi="sans-serif" w:eastAsia="sans-serif" w:cs="sans-serif"/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</w:r>
      <w:r>
        <w:rPr>
          <w:b w:val="0"/>
          <w:bCs w:val="0"/>
        </w:rPr>
      </w:r>
    </w:p>
    <w:p w14:paraId="5DC8F654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1. 帳號與安全</w:t>
      </w:r>
      <w:r>
        <w:rPr>
          <w:b w:val="0"/>
          <w:bCs w:val="0"/>
        </w:rPr>
      </w:r>
    </w:p>
    <w:p w14:paraId="1E167E4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您需妥善保管帳號與密碼；如發現異常登入或安全風險，請及時修改密碼或與我們聯絡。</w:t>
      </w:r>
      <w:r>
        <w:rPr>
          <w:b w:val="0"/>
          <w:bCs w:val="0"/>
        </w:rPr>
      </w:r>
    </w:p>
    <w:p w14:paraId="1B25CAB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使用 Apple 登入時，我們僅使用其傳回的使用者識別碼進行帳號關聯，不會自動讀取您的完整信箱。</w:t>
      </w:r>
      <w:r>
        <w:rPr>
          <w:b w:val="0"/>
          <w:bCs w:val="0"/>
        </w:rPr>
      </w:r>
    </w:p>
    <w:p w14:paraId="28FB845B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2. 購買與支付</w:t>
      </w:r>
      <w:r>
        <w:rPr>
          <w:b w:val="0"/>
          <w:bCs w:val="0"/>
        </w:rPr>
      </w:r>
    </w:p>
    <w:p w14:paraId="239D7D2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訂單付款透過第三方支付網關完成；我們不保存完整卡號或 CVV。</w:t>
      </w:r>
      <w:r>
        <w:rPr>
          <w:b w:val="0"/>
          <w:bCs w:val="0"/>
        </w:rPr>
      </w:r>
    </w:p>
    <w:p w14:paraId="355DB37C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價格以您選擇的貨幣顯示；實際結算金額可能受匯率、銀行或支付通路手續費影響，以支付通路結果為準。</w:t>
      </w:r>
      <w:r>
        <w:rPr>
          <w:b w:val="0"/>
          <w:bCs w:val="0"/>
        </w:rPr>
      </w:r>
    </w:p>
    <w:p w14:paraId="58C6929C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3. 交付與安裝</w:t>
      </w:r>
      <w:r>
        <w:rPr>
          <w:b w:val="0"/>
          <w:bCs w:val="0"/>
        </w:rPr>
      </w:r>
    </w:p>
    <w:p w14:paraId="2D32D38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付款成功後，您可在應用程式內查看 eSIM 安裝資訊並按系統提示完成安裝與啟動。</w:t>
      </w:r>
      <w:r>
        <w:rPr>
          <w:b w:val="0"/>
          <w:bCs w:val="0"/>
        </w:rPr>
      </w:r>
    </w:p>
    <w:p w14:paraId="2597C9A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設備相容性、網路覆蓋範圍與訊號品質受運營商與設備系統版本影響；跨境使用可能需要啟用資料漫遊或手動選網。</w:t>
      </w:r>
      <w:r>
        <w:rPr>
          <w:b w:val="0"/>
          <w:bCs w:val="0"/>
        </w:rPr>
      </w:r>
    </w:p>
    <w:p w14:paraId="0F7D470F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4. 續費與復用</w:t>
      </w:r>
      <w:r>
        <w:rPr>
          <w:b w:val="0"/>
          <w:bCs w:val="0"/>
        </w:rPr>
      </w:r>
    </w:p>
    <w:p w14:paraId="02CDEE5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目前套餐通常不支援續約；流量用盡或到期後需購買新套餐。</w:t>
      </w:r>
      <w:r>
        <w:rPr>
          <w:b w:val="0"/>
          <w:bCs w:val="0"/>
        </w:rPr>
      </w:r>
    </w:p>
    <w:p w14:paraId="3245D77F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已安裝的 eSIM 無法重複使用到新的訂單。</w:t>
      </w:r>
      <w:r>
        <w:rPr>
          <w:b w:val="0"/>
          <w:bCs w:val="0"/>
        </w:rPr>
      </w:r>
    </w:p>
    <w:p w14:paraId="3CE20F1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5. 用量與展示</w:t>
      </w:r>
      <w:r>
        <w:rPr>
          <w:b w:val="0"/>
          <w:bCs w:val="0"/>
        </w:rPr>
      </w:r>
    </w:p>
    <w:p w14:paraId="4C68C68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用量（如資料剩餘、到期時間）由上游介面返回並在應用程式內展示；上下游同步存在合理延遲。</w:t>
      </w:r>
      <w:r>
        <w:rPr>
          <w:b w:val="0"/>
          <w:bCs w:val="0"/>
        </w:rPr>
      </w:r>
    </w:p>
    <w:p w14:paraId="78932C1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6. 身份驗證與合規（eKYC）</w:t>
      </w:r>
      <w:r>
        <w:rPr>
          <w:b w:val="0"/>
          <w:bCs w:val="0"/>
        </w:rPr>
      </w:r>
    </w:p>
    <w:p w14:paraId="72516C8D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在法律法規、上游供應商或支付網關要求身份核驗的地區或場景，您承諾按提示提供真實、準確與完整的身份信息，並完成 eKYC 流程。</w:t>
      </w:r>
      <w:r>
        <w:rPr>
          <w:b w:val="0"/>
          <w:bCs w:val="0"/>
        </w:rPr>
      </w:r>
    </w:p>
    <w:p w14:paraId="7865D1E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如您拒絕或未透過 eKYC，相關訂單的購買、交付或使用可能受限或無法繼續，我們不對由此產生的間接損失負責。</w:t>
      </w:r>
      <w:r>
        <w:rPr>
          <w:b w:val="0"/>
          <w:bCs w:val="0"/>
        </w:rPr>
      </w:r>
    </w:p>
    <w:p w14:paraId="02EA5911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您不得提供偽造或冒用他人身分的資料；一經發現，我們可採取限制措施（包括但不限於暫停服務、關閉會話、拒絕退款），並在必要時配合監管或相關方進行調查。</w:t>
      </w:r>
      <w:r>
        <w:rPr>
          <w:b w:val="0"/>
          <w:bCs w:val="0"/>
        </w:rPr>
      </w:r>
    </w:p>
    <w:p w14:paraId="6827272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7. 退款與申訴</w:t>
      </w:r>
      <w:r>
        <w:rPr>
          <w:b w:val="0"/>
          <w:bCs w:val="0"/>
        </w:rPr>
      </w:r>
    </w:p>
    <w:p w14:paraId="51398E77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如遇支付、啟用或使用問題，您可在訂單頁面或透過客服發起退款或申訴。</w:t>
      </w:r>
      <w:r>
        <w:rPr>
          <w:b w:val="0"/>
          <w:bCs w:val="0"/>
        </w:rPr>
      </w:r>
    </w:p>
    <w:p w14:paraId="5B8621C5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退款受支付管道與上游供應商規則約束；我們將盡力提供支援與進度回饋。</w:t>
      </w:r>
      <w:r>
        <w:rPr>
          <w:b w:val="0"/>
          <w:bCs w:val="0"/>
        </w:rPr>
      </w:r>
    </w:p>
    <w:p w14:paraId="1B184923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8. 違規與終止</w:t>
      </w:r>
      <w:r>
        <w:rPr>
          <w:b w:val="0"/>
          <w:bCs w:val="0"/>
        </w:rPr>
      </w:r>
    </w:p>
    <w:p w14:paraId="08FEDD90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對明顯違規或濫用行為（包括但不限於繞過系統限制、刷量、仿冒身份），我們可採取限制措施，包括暫停用量展示、拒絕退款、關閉會話等。</w:t>
      </w:r>
      <w:r>
        <w:rPr>
          <w:b w:val="0"/>
          <w:bCs w:val="0"/>
        </w:rPr>
      </w:r>
    </w:p>
    <w:p w14:paraId="57956088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如因不可抗力或第三方系統故障導致服務中斷，我們不承擔由此產生的間接損失，但將提供合理支援。</w:t>
      </w:r>
      <w:r>
        <w:rPr>
          <w:b w:val="0"/>
          <w:bCs w:val="0"/>
        </w:rPr>
      </w:r>
    </w:p>
    <w:p w14:paraId="7018B85E">
      <w:pPr>
        <w:suppressLineNumbers w:val="false"/>
        <w:pBdr/>
        <w:spacing/>
        <w:ind/>
        <w:rPr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9. 適用法律</w:t>
      </w:r>
      <w:r>
        <w:rPr>
          <w:b w:val="0"/>
          <w:bCs w:val="0"/>
        </w:rPr>
      </w:r>
    </w:p>
    <w:p w14:paraId="7BC9B720">
      <w:pPr>
        <w:suppressLineNumbers w:val="false"/>
        <w:pBdr/>
        <w:spacing/>
        <w:ind/>
        <w:rPr>
          <w:rFonts w:ascii="Arial" w:hAnsi="Arial" w:cs="Arial"/>
          <w:b w:val="0"/>
          <w:bCs w:val="0"/>
        </w:rPr>
      </w:pPr>
      <w:r>
        <w:rPr>
          <w:rFonts w:hint="default" w:ascii="sans-serif" w:hAnsi="sans-serif" w:eastAsia="sans-serif" w:cs="sans-serif"/>
          <w:b w:val="0"/>
          <w:bCs w:val="0"/>
        </w:rPr>
        <w:t xml:space="preserve">- 您在使用服務時需遵守所在地適用法規與通訊政策；本條款不限制法律賦予的強制性權利。</w:t>
      </w:r>
      <w:r>
        <w:rPr>
          <w:rFonts w:ascii="Arial" w:hAnsi="Arial" w:cs="Arial"/>
          <w:b w:val="0"/>
          <w:bCs w:val="0"/>
        </w:rPr>
      </w:r>
      <w:r>
        <w:rPr>
          <w:b w:val="0"/>
          <w:bCs w:val="0"/>
        </w:rPr>
      </w:r>
    </w:p>
    <w:sectPr>
      <w:footnotePr/>
      <w:endnotePr/>
      <w:type w:val="nextPage"/>
      <w:pgSz w:h="16838" w:orient="portrait" w:w="11906"/>
      <w:pgMar w:top="1440" w:right="1800" w:bottom="1440" w:left="1800" w:header="851" w:footer="992" w:gutter="0"/>
      <w:cols w:num="1" w:sep="0" w:space="425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ans-serif">
    <w:panose1 w:val="05040102010807070707"/>
  </w:font>
  <w:font w:name="宋体">
    <w:panose1 w:val="02010600040101010101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DAFE90A0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abstractNum w:abstractNumId="1">
    <w:nsid w:val="EF7F8F12"/>
    <w:lvl w:ilvl="0">
      <w:isLgl w:val="false"/>
      <w:lvlJc w:val="left"/>
      <w:lvlText w:val="%1."/>
      <w:numFmt w:val="decimal"/>
      <w:pPr>
        <w:pBdr/>
        <w:tabs>
          <w:tab w:val="left" w:leader="none" w:pos="720"/>
        </w:tabs>
        <w:spacing/>
        <w:ind w:hanging="360" w:left="720"/>
      </w:pPr>
      <w:rPr>
        <w:sz w:val="24"/>
        <w:szCs w:val="24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left" w:leader="none" w:pos="1440"/>
        </w:tabs>
        <w:spacing/>
        <w:ind w:hanging="360" w:left="1440"/>
      </w:pPr>
      <w:rPr>
        <w:sz w:val="24"/>
        <w:szCs w:val="24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left" w:leader="none" w:pos="2160"/>
        </w:tabs>
        <w:spacing/>
        <w:ind w:hanging="360" w:left="2160"/>
      </w:pPr>
      <w:rPr>
        <w:sz w:val="24"/>
        <w:szCs w:val="24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517"/>
        </w:tabs>
        <w:spacing/>
        <w:ind w:hanging="360" w:left="2880"/>
      </w:pPr>
      <w:rPr>
        <w:sz w:val="24"/>
        <w:szCs w:val="24"/>
      </w:rPr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left" w:leader="none" w:pos="3238"/>
        </w:tabs>
        <w:spacing/>
        <w:ind w:hanging="360" w:left="3600"/>
      </w:pPr>
      <w:rPr>
        <w:sz w:val="24"/>
        <w:szCs w:val="24"/>
      </w:rPr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left" w:leader="none" w:pos="3958"/>
        </w:tabs>
        <w:spacing/>
        <w:ind w:hanging="360" w:left="4320"/>
      </w:pPr>
      <w:rPr>
        <w:sz w:val="24"/>
        <w:szCs w:val="24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4678"/>
        </w:tabs>
        <w:spacing/>
        <w:ind w:hanging="360" w:left="5040"/>
      </w:pPr>
      <w:rPr>
        <w:sz w:val="24"/>
        <w:szCs w:val="24"/>
      </w:rPr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left" w:leader="none" w:pos="5398"/>
        </w:tabs>
        <w:spacing/>
        <w:ind w:hanging="360" w:left="5760"/>
      </w:pPr>
      <w:rPr>
        <w:sz w:val="24"/>
        <w:szCs w:val="24"/>
      </w:rPr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left" w:leader="none" w:pos="6118"/>
        </w:tabs>
        <w:spacing/>
        <w:ind w:hanging="360" w:left="6480"/>
      </w:pPr>
      <w:rPr>
        <w:sz w:val="24"/>
        <w:szCs w:val="24"/>
      </w:rPr>
      <w:start w:val="1"/>
      <w:suff w:val="tab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 w:enforcement="0"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5">
    <w:name w:val="Table Grid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Table Grid Light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1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2"/>
    <w:basedOn w:val="89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1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be4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2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3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4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5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6"/>
    <w:basedOn w:val="89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3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bbfe7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ce6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6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ff2c9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ee28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3f2d8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0e1a8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3f4f1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9ce6e0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adade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3adb5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eb2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6d0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706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ae3f4" w:themeFill="accent1" w:themeFillTint="34"/>
        <w:tcBorders/>
      </w:tcPr>
    </w:tblStylePr>
    <w:tblStylePr w:type="band2Horz">
      <w:rPr>
        <w:rFonts w:ascii="Arial" w:hAnsi="Arial"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35eb2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Horz">
      <w:rPr>
        <w:rFonts w:ascii="Arial" w:hAnsi="Arial"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8e6d0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Horz">
      <w:rPr>
        <w:rFonts w:ascii="Arial" w:hAnsi="Arial"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706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Horz">
      <w:rPr>
        <w:rFonts w:ascii="Arial" w:hAnsi="Arial"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1726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e822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ba02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75bd4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874cb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874cb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5b5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ed962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ed962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acd78d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7dded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7dded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0949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0949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427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6211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9d02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9a3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9a298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1d31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1dcf2" w:themeFill="accent1" w:themeFillTint="40"/>
        <w:tcBorders/>
      </w:tcPr>
    </w:tblStylePr>
    <w:tblStylePr w:type="band2Horz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427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be0cb" w:themeFill="accent2" w:themeFillTint="40"/>
        <w:tcBorders/>
      </w:tcPr>
    </w:tblStylePr>
    <w:tblStylePr w:type="band2Horz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6211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eefbd" w:themeFill="accent3" w:themeFillTint="40"/>
        <w:tcBorders/>
      </w:tcPr>
    </w:tblStylePr>
    <w:tblStylePr w:type="band2Horz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9d02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ceed0" w:themeFill="accent4" w:themeFillTint="40"/>
        <w:tcBorders/>
      </w:tcPr>
    </w:tblStylePr>
    <w:tblStylePr w:type="band2Horz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f9a3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c9f1ee" w:themeFill="accent5" w:themeFillTint="40"/>
        <w:tcBorders/>
      </w:tcPr>
    </w:tblStylePr>
    <w:tblStylePr w:type="band2Horz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9a298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8d2d7" w:themeFill="accent6" w:themeFillTint="40"/>
        <w:tcBorders/>
      </w:tcPr>
    </w:tblStylePr>
    <w:tblStylePr w:type="band2Horz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1d31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1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6d3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77fcf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2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ce6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5b5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3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ff2c9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3bb02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4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3f2d8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acd78d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5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3f4f1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30c0b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6"/>
    <w:basedOn w:val="89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adade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e54c5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1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2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3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4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5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6"/>
    <w:basedOn w:val="89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1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91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91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91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91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91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91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91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91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91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91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91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91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8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9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8"/>
    <w:next w:val="888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91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9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88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9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91"/>
    <w:uiPriority w:val="20"/>
    <w:qFormat/>
    <w:pPr>
      <w:pBdr/>
      <w:spacing/>
      <w:ind/>
    </w:pPr>
    <w:rPr>
      <w:i/>
      <w:iCs/>
    </w:rPr>
  </w:style>
  <w:style w:type="character" w:styleId="862">
    <w:name w:val="Subtle Reference"/>
    <w:basedOn w:val="89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3">
    <w:name w:val="Book Title"/>
    <w:basedOn w:val="89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4">
    <w:name w:val="Header"/>
    <w:basedOn w:val="888"/>
    <w:link w:val="86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5">
    <w:name w:val="Header Char"/>
    <w:basedOn w:val="891"/>
    <w:link w:val="864"/>
    <w:uiPriority w:val="99"/>
    <w:pPr>
      <w:pBdr/>
      <w:spacing/>
      <w:ind/>
    </w:pPr>
  </w:style>
  <w:style w:type="paragraph" w:styleId="866">
    <w:name w:val="Footer"/>
    <w:basedOn w:val="888"/>
    <w:link w:val="86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7">
    <w:name w:val="Footer Char"/>
    <w:basedOn w:val="891"/>
    <w:link w:val="866"/>
    <w:uiPriority w:val="99"/>
    <w:pPr>
      <w:pBdr/>
      <w:spacing/>
      <w:ind/>
    </w:pPr>
  </w:style>
  <w:style w:type="paragraph" w:styleId="868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9">
    <w:name w:val="footnote text"/>
    <w:basedOn w:val="888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Footnote Text Char"/>
    <w:basedOn w:val="891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foot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8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Endnote Text Char"/>
    <w:basedOn w:val="891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endnote reference"/>
    <w:basedOn w:val="891"/>
    <w:uiPriority w:val="99"/>
    <w:semiHidden/>
    <w:unhideWhenUsed/>
    <w:pPr>
      <w:pBdr/>
      <w:spacing/>
      <w:ind/>
    </w:pPr>
    <w:rPr>
      <w:vertAlign w:val="superscript"/>
    </w:rPr>
  </w:style>
  <w:style w:type="character" w:styleId="875">
    <w:name w:val="FollowedHyperlink"/>
    <w:basedOn w:val="89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91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uiPriority w:val="0"/>
    <w:qFormat/>
    <w:pPr>
      <w:widowControl w:val="false"/>
      <w:pBdr/>
      <w:spacing/>
      <w:ind/>
      <w:jc w:val="both"/>
    </w:pPr>
    <w:rPr>
      <w:rFonts w:asciiTheme="minorHAnsi" w:hAnsiTheme="minorHAnsi" w:eastAsiaTheme="minorEastAsia" w:cstheme="minorBidi"/>
      <w:sz w:val="21"/>
      <w:szCs w:val="24"/>
      <w:lang w:val="en-US" w:eastAsia="zh-CN" w:bidi="ar-SA"/>
    </w:rPr>
  </w:style>
  <w:style w:type="paragraph" w:styleId="889">
    <w:name w:val="Heading 1"/>
    <w:basedOn w:val="888"/>
    <w:next w:val="888"/>
    <w:uiPriority w:val="0"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48"/>
      <w:szCs w:val="48"/>
      <w:lang w:val="en-US" w:eastAsia="zh-CN" w:bidi="ar"/>
    </w:rPr>
  </w:style>
  <w:style w:type="paragraph" w:styleId="890">
    <w:name w:val="Heading 3"/>
    <w:basedOn w:val="888"/>
    <w:next w:val="888"/>
    <w:uiPriority w:val="0"/>
    <w:semiHidden/>
    <w:unhideWhenUsed/>
    <w:qFormat/>
    <w:pPr>
      <w:pBdr/>
      <w:spacing w:after="0" w:afterAutospacing="1" w:before="0" w:beforeAutospacing="1"/>
      <w:ind/>
      <w:jc w:val="left"/>
    </w:pPr>
    <w:rPr>
      <w:rFonts w:hint="eastAsia" w:ascii="宋体" w:hAnsi="宋体" w:eastAsia="宋体" w:cs="宋体"/>
      <w:b/>
      <w:bCs/>
      <w:sz w:val="27"/>
      <w:szCs w:val="27"/>
      <w:lang w:val="en-US" w:eastAsia="zh-CN" w:bidi="ar"/>
    </w:rPr>
  </w:style>
  <w:style w:type="character" w:styleId="891" w:default="1">
    <w:name w:val="Default Paragraph Font"/>
    <w:uiPriority w:val="0"/>
    <w:semiHidden/>
    <w:pPr>
      <w:pBdr/>
      <w:spacing/>
      <w:ind/>
    </w:pPr>
  </w:style>
  <w:style w:type="table" w:styleId="892" w:default="1">
    <w:name w:val="Normal Table"/>
    <w:uiPriority w:val="0"/>
    <w:semiHidden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3">
    <w:name w:val="Normal (Web)"/>
    <w:basedOn w:val="888"/>
    <w:uiPriority w:val="0"/>
    <w:pPr>
      <w:pBdr/>
      <w:spacing w:after="0" w:afterAutospacing="1" w:before="0" w:beforeAutospacing="1"/>
      <w:ind w:right="0" w:left="0"/>
      <w:jc w:val="left"/>
    </w:pPr>
    <w:rPr>
      <w:sz w:val="24"/>
      <w:lang w:val="en-US" w:eastAsia="zh-CN" w:bidi="ar"/>
    </w:rPr>
  </w:style>
  <w:style w:type="character" w:styleId="894">
    <w:name w:val="Strong"/>
    <w:basedOn w:val="891"/>
    <w:uiPriority w:val="0"/>
    <w:qFormat/>
    <w:pPr>
      <w:pBdr/>
      <w:spacing/>
      <w:ind/>
    </w:pPr>
    <w:rPr>
      <w:b/>
    </w:rPr>
  </w:style>
  <w:style w:type="character" w:styleId="895">
    <w:name w:val="Hyperlink"/>
    <w:basedOn w:val="891"/>
    <w:uiPriority w:val="0"/>
    <w:pPr>
      <w:pBdr/>
      <w:spacing/>
      <w:ind/>
    </w:pPr>
    <w:rPr>
      <w:color w:val="0000ff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LinksUpToDate>0</LinksUpToD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Data</dc:creator>
  <cp:revision>2</cp:revision>
  <dcterms:created xsi:type="dcterms:W3CDTF">2025-07-30T00:14:00Z</dcterms:created>
  <dcterms:modified xsi:type="dcterms:W3CDTF">2025-12-10T05:54:32Z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2052-12.1.23540.23540</vt:lpwstr>
  </property>
  <property fmtid="{D5CDD505-2E9C-101B-9397-08002B2CF9AE}" pid="3" name="ICV">
    <vt:lpwstr>7CD85D9BC3C439ECFE828868C9F27BF0_41</vt:lpwstr>
  </property>
</Properties>
</file>