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8F58F7">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سياسة الاستخدام المعقول</w:t>
      </w:r>
      <w:r>
        <w:rPr>
          <w:rFonts w:hint="default" w:ascii="sans-serif" w:hAnsi="sans-serif" w:eastAsia="sans-serif" w:cs="sans-serif"/>
          <w:b/>
          <w:bCs/>
        </w:rPr>
      </w:r>
      <w:r>
        <w:rPr>
          <w:rFonts w:ascii="sans-serif" w:hAnsi="sans-serif" w:eastAsia="sans-serif" w:cs="sans-serif"/>
          <w:b/>
          <w:bCs/>
        </w:rPr>
      </w:r>
    </w:p>
    <w:p w14:paraId="739A6E3C">
      <w:pPr>
        <w:pBdr/>
        <w:spacing/>
        <w:ind/>
        <w:rPr/>
      </w:pPr>
      <w:r>
        <w:rPr>
          <w:rFonts w:hint="default" w:ascii="sans-serif" w:hAnsi="sans-serif" w:eastAsia="sans-serif" w:cs="sans-serif"/>
          <w:b/>
          <w:bCs/>
        </w:rPr>
      </w:r>
      <w:r>
        <w:rPr>
          <w:rFonts w:ascii="sans-serif" w:hAnsi="sans-serif" w:eastAsia="sans-serif" w:cs="sans-serif"/>
          <w:b/>
          <w:bCs/>
        </w:rPr>
      </w:r>
      <w:r/>
    </w:p>
    <w:p w14:paraId="1B3ADCB8">
      <w:pPr>
        <w:pBdr/>
        <w:spacing/>
        <w:ind/>
        <w:rPr/>
      </w:pPr>
      <w:r/>
      <w:r/>
    </w:p>
    <w:p w14:paraId="4D74A9ED">
      <w:pPr>
        <w:pBdr/>
        <w:spacing/>
        <w:ind/>
        <w:rPr/>
      </w:pPr>
      <w:r>
        <w:t xml:space="preserve">1. الأهداف والمبادئ</w:t>
      </w:r>
      <w:r/>
    </w:p>
    <w:p w14:paraId="0A04CDB8">
      <w:pPr>
        <w:pBdr/>
        <w:spacing/>
        <w:ind/>
        <w:rPr/>
      </w:pPr>
      <w:r/>
      <w:r/>
    </w:p>
    <w:p w14:paraId="0BD54399">
      <w:pPr>
        <w:pBdr/>
        <w:spacing/>
        <w:ind/>
        <w:rPr/>
      </w:pPr>
      <w:r>
        <w:t xml:space="preserve">- ضمان استخدام عادل ومستقر لموارد الشبكة لجميع المستخدمين، ومنع إساءة استخدام الأفراد لها من التأثير على جودة الخدمة الإجمالية.</w:t>
      </w:r>
      <w:r/>
    </w:p>
    <w:p w14:paraId="63E583C4">
      <w:pPr>
        <w:pBdr/>
        <w:spacing/>
        <w:ind/>
        <w:rPr/>
      </w:pPr>
      <w:r/>
      <w:r/>
    </w:p>
    <w:p w14:paraId="62315A14">
      <w:pPr>
        <w:pBdr/>
        <w:spacing/>
        <w:ind/>
        <w:rPr/>
      </w:pPr>
      <w:r>
        <w:t xml:space="preserve">2. متطلبات الاستخدام المعقول</w:t>
      </w:r>
      <w:r/>
    </w:p>
    <w:p w14:paraId="43B2D984">
      <w:pPr>
        <w:pBdr/>
        <w:spacing/>
        <w:ind/>
        <w:rPr/>
      </w:pPr>
      <w:r/>
      <w:r/>
    </w:p>
    <w:p w14:paraId="4793FECC">
      <w:pPr>
        <w:pBdr/>
        <w:spacing/>
        <w:ind/>
        <w:rPr/>
      </w:pPr>
      <w:r>
        <w:t xml:space="preserve">- الالتزام بإرشادات استخدام الشبكة الخاصة بمشغل الشبكة؛ يُحظر التلاعب الضار بالبيانات، أو طلبات الدفعات الآلية، أو التقليد، أو تجاوز قيود النظام.</w:t>
      </w:r>
      <w:r/>
    </w:p>
    <w:p w14:paraId="6ABAADDD">
      <w:pPr>
        <w:pBdr/>
        <w:spacing/>
        <w:ind/>
        <w:rPr/>
      </w:pPr>
      <w:r/>
      <w:r/>
    </w:p>
    <w:p w14:paraId="40B3DADB">
      <w:pPr>
        <w:pBdr/>
        <w:spacing/>
        <w:ind/>
        <w:rPr/>
      </w:pPr>
      <w:r>
        <w:t xml:space="preserve">- لا يجوز استخدام باقات البيانات الشخصية لإعادة بيعها تجاريًا أو مشاركتها مع مستخدمين غير محددين؛ ويُحظر التثبيت القسري أو إعادة الاستخدام على أجهزة أو بيئات غير مدعومة.</w:t>
      </w:r>
      <w:r/>
    </w:p>
    <w:p w14:paraId="315E0A36">
      <w:pPr>
        <w:pBdr/>
        <w:spacing/>
        <w:ind/>
        <w:rPr/>
      </w:pPr>
      <w:r/>
      <w:r/>
    </w:p>
    <w:p w14:paraId="0A0A13F7">
      <w:pPr>
        <w:pBdr/>
        <w:spacing/>
        <w:ind/>
        <w:rPr/>
      </w:pPr>
      <w:r>
        <w:t xml:space="preserve">- يجب أن يتوافق الاستخدام عبر الحدود مع القوانين واللوائح وسياسات التجوال المحلية؛ وقد يكون تجوال البيانات أو اختيار الشبكة يدويًا ضروريًا.</w:t>
      </w:r>
      <w:r/>
    </w:p>
    <w:p w14:paraId="7A998F83">
      <w:pPr>
        <w:pBdr/>
        <w:spacing/>
        <w:ind/>
        <w:rPr/>
      </w:pPr>
      <w:r/>
      <w:r/>
    </w:p>
    <w:p w14:paraId="686EED31">
      <w:pPr>
        <w:pBdr/>
        <w:spacing/>
        <w:ind/>
        <w:rPr/>
      </w:pPr>
      <w:r>
        <w:t xml:space="preserve">3. الموارد والحدود</w:t>
      </w:r>
      <w:r/>
    </w:p>
    <w:p w14:paraId="39B7C856">
      <w:pPr>
        <w:pBdr/>
        <w:spacing/>
        <w:ind/>
        <w:rPr/>
      </w:pPr>
      <w:r/>
      <w:r/>
    </w:p>
    <w:p w14:paraId="6FADF77C">
      <w:pPr>
        <w:pBdr/>
        <w:spacing/>
        <w:ind/>
        <w:rPr/>
      </w:pPr>
      <w:r>
        <w:t xml:space="preserve">- تعتمد حصص البيانات وفترات صلاحيتها ضمن الباقة على تأكيد الطلب وردود فعل الموردين؛ وسيتم تعليق الخدمة عند الوصول إلى الحد الأقصى أو انتهاء الصلاحية.</w:t>
      </w:r>
      <w:r/>
    </w:p>
    <w:p w14:paraId="00B3B4AD">
      <w:pPr>
        <w:pBdr/>
        <w:spacing/>
        <w:ind/>
        <w:rPr/>
      </w:pPr>
      <w:r/>
      <w:r/>
    </w:p>
    <w:p w14:paraId="6F520F00">
      <w:pPr>
        <w:pBdr/>
        <w:spacing/>
        <w:ind/>
        <w:rPr/>
      </w:pPr>
      <w:r>
        <w:t xml:space="preserve">- الاستخدام المعروض هو للمرجعية فقط، وقد يخضع لتأخيرات في التجميع أو المزامنة.</w:t>
      </w:r>
      <w:r/>
    </w:p>
    <w:p w14:paraId="105107FF">
      <w:pPr>
        <w:pBdr/>
        <w:spacing/>
        <w:ind/>
        <w:rPr/>
      </w:pPr>
      <w:r/>
      <w:r/>
    </w:p>
    <w:p w14:paraId="14D9F1D7">
      <w:pPr>
        <w:pBdr/>
        <w:spacing/>
        <w:ind/>
        <w:rPr/>
      </w:pPr>
      <w:r/>
      <w:r/>
    </w:p>
    <w:p w14:paraId="00081D09">
      <w:pPr>
        <w:pBdr/>
        <w:spacing/>
        <w:ind/>
        <w:rPr/>
      </w:pPr>
      <w:r>
        <w:t xml:space="preserve">٤. المخالفات ومعالجتها</w:t>
      </w:r>
      <w:r/>
    </w:p>
    <w:p w14:paraId="216E676B">
      <w:pPr>
        <w:pBdr/>
        <w:spacing/>
        <w:ind/>
        <w:rPr/>
      </w:pPr>
      <w:r/>
      <w:r/>
    </w:p>
    <w:p w14:paraId="539EB0E5">
      <w:pPr>
        <w:pBdr/>
        <w:spacing/>
        <w:ind/>
        <w:rPr/>
      </w:pPr>
      <w:r>
        <w:t xml:space="preserve">- في حال وجود مخالفات واضحة أو سلوكيات تؤثر على استقرار الخدمة، قد نتخذ إجراءات تقييدية (مثل تعليق العرض، أو رفض رد الأموال، أو إغلاق الجلسات)، وسنتعاون مع الجهات المعنية في التحقيقات عند الضرورة.</w:t>
      </w:r>
      <w:r/>
    </w:p>
    <w:p w14:paraId="3E821398">
      <w:pPr>
        <w:pBdr/>
        <w:spacing/>
        <w:ind/>
        <w:rPr/>
      </w:pPr>
      <w:r/>
      <w:r/>
    </w:p>
    <w:p w14:paraId="65308F0F">
      <w:pPr>
        <w:pBdr/>
        <w:spacing/>
        <w:ind/>
        <w:rPr/>
      </w:pPr>
      <w:r>
        <w:t xml:space="preserve">إذا لم توافق على النتيجة، يمكنك تقديم توضيح واستئناف عبر قنوات خدمة العملاء، وسنقوم بمراجعته.</w:t>
      </w:r>
      <w:r/>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F7B3BA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6DE7E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2025-07-30T16:14:00Z</dcterms:created>
  <dcterms:modified xsi:type="dcterms:W3CDTF">2025-12-10T05:50:26Z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