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8F58F7">
      <w:pPr>
        <w:pStyle w:val="889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Política de Uso Razonable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739A6E3C">
      <w:pPr>
        <w:pBdr/>
        <w:spacing/>
        <w:ind/>
        <w:rPr/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  <w:r/>
    </w:p>
    <w:p w14:paraId="421FCE4B">
      <w:pPr>
        <w:pBdr/>
        <w:spacing/>
        <w:ind/>
        <w:rPr/>
      </w:pPr>
      <w:r/>
      <w:r/>
    </w:p>
    <w:p w14:paraId="233051D8">
      <w:pPr>
        <w:pBdr/>
        <w:spacing/>
        <w:ind/>
        <w:rPr/>
      </w:pPr>
      <w:r>
        <w:t xml:space="preserve">1. Objetivos y Principios</w:t>
      </w:r>
      <w:r/>
    </w:p>
    <w:p w14:paraId="7EF6AF3F">
      <w:pPr>
        <w:pBdr/>
        <w:spacing/>
        <w:ind/>
        <w:rPr/>
      </w:pPr>
      <w:r/>
      <w:r/>
    </w:p>
    <w:p w14:paraId="7CF7D042">
      <w:pPr>
        <w:pBdr/>
        <w:spacing/>
        <w:ind/>
        <w:rPr/>
      </w:pPr>
      <w:r>
        <w:t xml:space="preserve">- Garantizar que todos los usuarios tengan acceso justo y estable a los recursos de la red y evitar que abusos individuales afecten la calidad general del servicio.</w:t>
      </w:r>
      <w:r/>
    </w:p>
    <w:p w14:paraId="4C619C9C">
      <w:pPr>
        <w:pBdr/>
        <w:spacing/>
        <w:ind/>
        <w:rPr/>
      </w:pPr>
      <w:r/>
      <w:r/>
    </w:p>
    <w:p w14:paraId="3FDA6C1E">
      <w:pPr>
        <w:pBdr/>
        <w:spacing/>
        <w:ind/>
        <w:rPr/>
      </w:pPr>
      <w:r>
        <w:t xml:space="preserve">2. Requisitos de Uso Razonable</w:t>
      </w:r>
      <w:r/>
    </w:p>
    <w:p w14:paraId="204842A7">
      <w:pPr>
        <w:pBdr/>
        <w:spacing/>
        <w:ind/>
        <w:rPr/>
      </w:pPr>
      <w:r/>
      <w:r/>
    </w:p>
    <w:p w14:paraId="35A94454">
      <w:pPr>
        <w:pBdr/>
        <w:spacing/>
        <w:ind/>
        <w:rPr/>
      </w:pPr>
      <w:r>
        <w:t xml:space="preserve">- Cumplir con las directrices de uso de la red del operador; se prohíbe la manipulación maliciosa del uso de datos, las solicitudes automatizadas por lotes, la imitación o la elusión de las restricciones del sistema.</w:t>
      </w:r>
      <w:r/>
    </w:p>
    <w:p w14:paraId="71E801C8">
      <w:pPr>
        <w:pBdr/>
        <w:spacing/>
        <w:ind/>
        <w:rPr/>
      </w:pPr>
      <w:r/>
      <w:r/>
    </w:p>
    <w:p w14:paraId="7C14E770">
      <w:pPr>
        <w:pBdr/>
        <w:spacing/>
        <w:ind/>
        <w:rPr/>
      </w:pPr>
      <w:r>
        <w:t xml:space="preserve">- Los planes de datos personales no deben utilizarse para la reventa comercial ni compartirse con usuarios no especificados; se prohíbe la instalación o reutilización forzada en dispositivos o entornos no compatibles.</w:t>
      </w:r>
      <w:r/>
    </w:p>
    <w:p w14:paraId="74A527F2">
      <w:pPr>
        <w:pBdr/>
        <w:spacing/>
        <w:ind/>
        <w:rPr/>
      </w:pPr>
      <w:r/>
      <w:r/>
    </w:p>
    <w:p w14:paraId="47A91E9E">
      <w:pPr>
        <w:pBdr/>
        <w:spacing/>
        <w:ind/>
        <w:rPr/>
      </w:pPr>
      <w:r>
        <w:t xml:space="preserve">- El uso transfronterizo debe cumplir con las leyes, normativas y políticas de roaming locales; podría ser necesario el roaming de datos o la selección manual de la red.</w:t>
      </w:r>
      <w:r/>
    </w:p>
    <w:p w14:paraId="311FA804">
      <w:pPr>
        <w:pBdr/>
        <w:spacing/>
        <w:ind/>
        <w:rPr/>
      </w:pPr>
      <w:r/>
      <w:r/>
    </w:p>
    <w:p w14:paraId="65C4D926">
      <w:pPr>
        <w:pBdr/>
        <w:spacing/>
        <w:ind/>
        <w:rPr/>
      </w:pPr>
      <w:r>
        <w:t xml:space="preserve">3. Recursos y Límites</w:t>
      </w:r>
      <w:r/>
    </w:p>
    <w:p w14:paraId="340809C1">
      <w:pPr>
        <w:pBdr/>
        <w:spacing/>
        <w:ind/>
        <w:rPr/>
      </w:pPr>
      <w:r/>
      <w:r/>
    </w:p>
    <w:p w14:paraId="667EB46F">
      <w:pPr>
        <w:pBdr/>
        <w:spacing/>
        <w:ind/>
        <w:rPr/>
      </w:pPr>
      <w:r>
        <w:t xml:space="preserve">- Las asignaciones de datos y los períodos de validez del plan se basan en la confirmación del pedido y la información de los proveedores; el servicio se suspenderá al alcanzar el límite o al vencimiento.</w:t>
      </w:r>
      <w:r/>
    </w:p>
    <w:p w14:paraId="2A0377F0">
      <w:pPr>
        <w:pBdr/>
        <w:spacing/>
        <w:ind/>
        <w:rPr/>
      </w:pPr>
      <w:r/>
      <w:r/>
    </w:p>
    <w:p w14:paraId="06F74695">
      <w:pPr>
        <w:pBdr/>
        <w:spacing/>
        <w:ind/>
        <w:rPr/>
      </w:pPr>
      <w:r>
        <w:t xml:space="preserve">- El uso mostrado es solo de referencia y puede estar sujeto a retrasos en la recopilación o sincronización.</w:t>
      </w:r>
      <w:r/>
    </w:p>
    <w:p w14:paraId="258C8812">
      <w:pPr>
        <w:pBdr/>
        <w:spacing/>
        <w:ind/>
        <w:rPr/>
      </w:pPr>
      <w:r/>
      <w:r/>
    </w:p>
    <w:p w14:paraId="4BC206D1">
      <w:pPr>
        <w:pBdr/>
        <w:spacing/>
        <w:ind/>
        <w:rPr/>
      </w:pPr>
      <w:r>
        <w:t xml:space="preserve">4. Infracciones y gestión</w:t>
      </w:r>
      <w:r/>
    </w:p>
    <w:p w14:paraId="4AC33A49">
      <w:pPr>
        <w:pBdr/>
        <w:spacing/>
        <w:ind/>
        <w:rPr/>
      </w:pPr>
      <w:r/>
      <w:r/>
    </w:p>
    <w:p w14:paraId="42FB0387">
      <w:pPr>
        <w:pBdr/>
        <w:spacing/>
        <w:ind/>
        <w:rPr/>
      </w:pPr>
      <w:r>
        <w:t xml:space="preserve">En caso de infracciones o comportamientos evidentes que afecten la estabilidad del servicio, podremos tomar medidas restrictivas (como suspender la visualización, rechazar reembolsos o cerrar sesiones) y, cuando sea necesario, cooperaremos con las partes pe</w:t>
      </w:r>
      <w:r>
        <w:t xml:space="preserve">rtinentes en las investigaciones.</w:t>
      </w:r>
      <w:r/>
    </w:p>
    <w:p w14:paraId="11C85133">
      <w:pPr>
        <w:pBdr/>
        <w:spacing/>
        <w:ind/>
        <w:rPr/>
      </w:pPr>
      <w:r/>
      <w:r/>
    </w:p>
    <w:p w14:paraId="65308F0F">
      <w:pPr>
        <w:pBdr/>
        <w:spacing/>
        <w:ind/>
        <w:rPr/>
      </w:pPr>
      <w:r>
        <w:t xml:space="preserve">Si no está de acuerdo con el resultado, puede presentar una explicación y una apelación a través de los canales de atención al cliente, que revisaremos.</w:t>
      </w:r>
      <w:r/>
      <w:r/>
      <w:r/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F7B3BAB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F6DE7EFF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91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91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91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91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91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91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91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91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91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91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91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91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8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8"/>
    <w:next w:val="888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91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88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862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4">
    <w:name w:val="Header"/>
    <w:basedOn w:val="888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Header Char"/>
    <w:basedOn w:val="891"/>
    <w:link w:val="864"/>
    <w:uiPriority w:val="99"/>
    <w:pPr>
      <w:pBdr/>
      <w:spacing/>
      <w:ind/>
    </w:pPr>
  </w:style>
  <w:style w:type="paragraph" w:styleId="866">
    <w:name w:val="Footer"/>
    <w:basedOn w:val="88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Footer Char"/>
    <w:basedOn w:val="891"/>
    <w:link w:val="866"/>
    <w:uiPriority w:val="99"/>
    <w:pPr>
      <w:pBdr/>
      <w:spacing/>
      <w:ind/>
    </w:pPr>
  </w:style>
  <w:style w:type="paragraph" w:styleId="868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9">
    <w:name w:val="footnote text"/>
    <w:basedOn w:val="888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Footnote Text Char"/>
    <w:basedOn w:val="891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8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Endnote Text Char"/>
    <w:basedOn w:val="89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75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9">
    <w:name w:val="Heading 1"/>
    <w:basedOn w:val="888"/>
    <w:next w:val="888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90">
    <w:name w:val="Heading 3"/>
    <w:basedOn w:val="888"/>
    <w:next w:val="888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1" w:default="1">
    <w:name w:val="Default Paragraph Font"/>
    <w:uiPriority w:val="0"/>
    <w:semiHidden/>
    <w:pPr>
      <w:pBdr/>
      <w:spacing/>
      <w:ind/>
    </w:pPr>
  </w:style>
  <w:style w:type="table" w:styleId="892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>
    <w:name w:val="Normal (Web)"/>
    <w:basedOn w:val="888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4">
    <w:name w:val="Strong"/>
    <w:basedOn w:val="891"/>
    <w:uiPriority w:val="0"/>
    <w:qFormat/>
    <w:pPr>
      <w:pBdr/>
      <w:spacing/>
      <w:ind/>
    </w:pPr>
    <w:rPr>
      <w:b/>
    </w:rPr>
  </w:style>
  <w:style w:type="character" w:styleId="895">
    <w:name w:val="Hyperlink"/>
    <w:basedOn w:val="891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2025-07-30T16:14:00Z</dcterms:created>
  <dcterms:modified xsi:type="dcterms:W3CDTF">2025-12-10T05:49:47Z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